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B2E2" w14:textId="168A450E" w:rsidR="0014598B" w:rsidRPr="0014598B" w:rsidRDefault="0014598B" w:rsidP="00A9575A">
      <w:pPr>
        <w:rPr>
          <w:b/>
          <w:bCs/>
          <w:sz w:val="40"/>
          <w:szCs w:val="40"/>
        </w:rPr>
      </w:pPr>
      <w:r>
        <w:rPr>
          <w:b/>
          <w:bCs/>
          <w:sz w:val="40"/>
          <w:szCs w:val="40"/>
        </w:rPr>
        <w:t>Net Zero &amp; Environment:  Community Participation Principles</w:t>
      </w:r>
    </w:p>
    <w:p w14:paraId="02A24F67" w14:textId="77777777" w:rsidR="0014598B" w:rsidRDefault="0014598B" w:rsidP="00A9575A">
      <w:pPr>
        <w:rPr>
          <w:b/>
          <w:bCs/>
        </w:rPr>
      </w:pPr>
    </w:p>
    <w:p w14:paraId="189A9974" w14:textId="606E4D8F" w:rsidR="00A9575A" w:rsidRPr="00A9575A" w:rsidRDefault="00A9575A" w:rsidP="00A9575A">
      <w:pPr>
        <w:rPr>
          <w:b/>
          <w:bCs/>
        </w:rPr>
      </w:pPr>
      <w:r w:rsidRPr="00A9575A">
        <w:rPr>
          <w:b/>
          <w:bCs/>
        </w:rPr>
        <w:t>Purpose of the Document</w:t>
      </w:r>
    </w:p>
    <w:p w14:paraId="0717261E" w14:textId="378E25F7" w:rsidR="00A9575A" w:rsidRDefault="00A9575A" w:rsidP="00A9575A">
      <w:r>
        <w:t>This document is intended to</w:t>
      </w:r>
      <w:r w:rsidRPr="00BB7DDD">
        <w:t xml:space="preserve"> set out best practice when organising, </w:t>
      </w:r>
      <w:proofErr w:type="gramStart"/>
      <w:r w:rsidRPr="00BB7DDD">
        <w:t>engaging</w:t>
      </w:r>
      <w:proofErr w:type="gramEnd"/>
      <w:r w:rsidRPr="00BB7DDD">
        <w:t xml:space="preserve"> or speaking with communities and neighbourhoods around Net Zero, sustainability</w:t>
      </w:r>
      <w:r>
        <w:t xml:space="preserve"> and</w:t>
      </w:r>
      <w:r w:rsidRPr="00BB7DDD">
        <w:t xml:space="preserve"> low-carbon technolog</w:t>
      </w:r>
      <w:r>
        <w:t>ies,</w:t>
      </w:r>
      <w:r w:rsidRPr="00BB7DDD">
        <w:t xml:space="preserve"> </w:t>
      </w:r>
      <w:r>
        <w:t xml:space="preserve">including key considerations for each stage of the engagement process.  </w:t>
      </w:r>
    </w:p>
    <w:p w14:paraId="0109A8A7" w14:textId="0B3B9CF8" w:rsidR="00A9575A" w:rsidRPr="00A9575A" w:rsidRDefault="00A9575A" w:rsidP="00A9575A">
      <w:pPr>
        <w:rPr>
          <w:b/>
          <w:bCs/>
        </w:rPr>
      </w:pPr>
      <w:r w:rsidRPr="00A9575A">
        <w:rPr>
          <w:b/>
          <w:bCs/>
        </w:rPr>
        <w:t>How to Use This Document</w:t>
      </w:r>
    </w:p>
    <w:p w14:paraId="5B9B1021" w14:textId="3F856D54" w:rsidR="00A9575A" w:rsidRDefault="00A9575A" w:rsidP="00A9575A">
      <w:r>
        <w:t xml:space="preserve">Contained are key considerations to navigate a community engagement programme. From the initial stages of planning, through to the delivery and analysis of engagement efforts, this document provides a core set of considerations for each stage. This is not intended to be prescriptive.  Rather than offering rigid instructions, it outlines underlying principles that drive inclusive and effective community engagement. As such, it should serve as a guide, encouraging adaptability and creativity in tailoring engagement approaches to the unique contexts and needs of each </w:t>
      </w:r>
      <w:r w:rsidRPr="0014598B">
        <w:rPr>
          <w:color w:val="000000" w:themeColor="text1"/>
        </w:rPr>
        <w:t xml:space="preserve">community.  </w:t>
      </w:r>
      <w:r w:rsidRPr="0014598B">
        <w:rPr>
          <w:color w:val="000000" w:themeColor="text1"/>
          <w:sz w:val="24"/>
          <w:szCs w:val="24"/>
        </w:rPr>
        <w:t>A version of this document should also be shared as guidance with Local Authority partners actively delivering Net Zero &amp; Environment projects that involve community participation (</w:t>
      </w:r>
      <w:proofErr w:type="spellStart"/>
      <w:r w:rsidRPr="0014598B">
        <w:rPr>
          <w:color w:val="000000" w:themeColor="text1"/>
          <w:sz w:val="24"/>
          <w:szCs w:val="24"/>
        </w:rPr>
        <w:t>e.g</w:t>
      </w:r>
      <w:proofErr w:type="spellEnd"/>
      <w:r w:rsidRPr="0014598B">
        <w:rPr>
          <w:color w:val="000000" w:themeColor="text1"/>
          <w:sz w:val="24"/>
          <w:szCs w:val="24"/>
        </w:rPr>
        <w:t xml:space="preserve"> Net Zero Neighbourhoods, delivery of Heat Networks, community owned low carbon generation</w:t>
      </w:r>
      <w:r w:rsidR="003C6744" w:rsidRPr="0014598B">
        <w:rPr>
          <w:color w:val="000000" w:themeColor="text1"/>
          <w:sz w:val="24"/>
          <w:szCs w:val="24"/>
        </w:rPr>
        <w:t>,</w:t>
      </w:r>
      <w:r w:rsidRPr="0014598B">
        <w:rPr>
          <w:color w:val="000000" w:themeColor="text1"/>
          <w:sz w:val="24"/>
          <w:szCs w:val="24"/>
        </w:rPr>
        <w:t xml:space="preserve"> etc</w:t>
      </w:r>
      <w:r w:rsidR="003C6744" w:rsidRPr="0014598B">
        <w:rPr>
          <w:color w:val="000000" w:themeColor="text1"/>
          <w:sz w:val="24"/>
          <w:szCs w:val="24"/>
        </w:rPr>
        <w:t>.</w:t>
      </w:r>
      <w:r w:rsidRPr="0014598B">
        <w:rPr>
          <w:color w:val="000000" w:themeColor="text1"/>
          <w:sz w:val="24"/>
          <w:szCs w:val="24"/>
        </w:rPr>
        <w:t>)</w:t>
      </w:r>
    </w:p>
    <w:p w14:paraId="6F20A57C" w14:textId="12DCE942" w:rsidR="00A9575A" w:rsidRPr="00A9575A" w:rsidRDefault="00A9575A" w:rsidP="00A9575A">
      <w:pPr>
        <w:rPr>
          <w:b/>
          <w:bCs/>
        </w:rPr>
      </w:pPr>
      <w:r w:rsidRPr="00A9575A">
        <w:rPr>
          <w:b/>
          <w:bCs/>
        </w:rPr>
        <w:t>Understanding the Principles</w:t>
      </w:r>
    </w:p>
    <w:p w14:paraId="5279691A" w14:textId="06A07B7D" w:rsidR="00A9575A" w:rsidRDefault="00A9575A" w:rsidP="00A9575A">
      <w:r>
        <w:t xml:space="preserve">At its core, this document emphasizes principles that underpin inclusive community engagement. It encourages openness, transparency, and collaboration, recognizing the value of diverse perspectives and lived experiences. By embodying these principles, we create space for meaningful dialogue, co-creation, and empowerment within our communities.  </w:t>
      </w:r>
      <w:r w:rsidRPr="00BB7DDD">
        <w:t xml:space="preserve">By emphasizing principles such as those outlined in </w:t>
      </w:r>
      <w:proofErr w:type="spellStart"/>
      <w:r w:rsidRPr="00BB7DDD">
        <w:t>Arnstein's</w:t>
      </w:r>
      <w:proofErr w:type="spellEnd"/>
      <w:r w:rsidRPr="00BB7DDD">
        <w:t xml:space="preserve"> ladder of participation, we aim to promote genuine collaboration, where communities are not spectators</w:t>
      </w:r>
      <w:r>
        <w:t>,</w:t>
      </w:r>
      <w:r w:rsidRPr="00BB7DDD">
        <w:t xml:space="preserve"> but active partners in the decision-making process</w:t>
      </w:r>
      <w:r>
        <w:t>es around their place</w:t>
      </w:r>
      <w:r w:rsidRPr="00BB7DDD">
        <w:t>. It underscores the critical need to move beyond tokenistic engagement efforts, recognizing that poorly designed or implemented engagement can have detrimental effects, perpetuating disempowerment, and distrust within communities.</w:t>
      </w:r>
    </w:p>
    <w:p w14:paraId="3CBDD528" w14:textId="472D7DC5" w:rsidR="00FD4D76" w:rsidRDefault="00F06580" w:rsidP="001B310C">
      <w:pPr>
        <w:rPr>
          <w:b/>
        </w:rPr>
      </w:pPr>
      <w:r>
        <w:rPr>
          <w:b/>
        </w:rPr>
        <w:t>Inclusive Growth</w:t>
      </w:r>
    </w:p>
    <w:p w14:paraId="2C9E61B8" w14:textId="77777777" w:rsidR="001852B1" w:rsidRDefault="000543EA" w:rsidP="001B310C">
      <w:pPr>
        <w:rPr>
          <w:bCs/>
        </w:rPr>
      </w:pPr>
      <w:r>
        <w:rPr>
          <w:bCs/>
        </w:rPr>
        <w:t>Inclusive Growth is defined as</w:t>
      </w:r>
      <w:r w:rsidR="001852B1">
        <w:rPr>
          <w:bCs/>
        </w:rPr>
        <w:t>:</w:t>
      </w:r>
      <w:r w:rsidR="001852B1" w:rsidRPr="001852B1">
        <w:rPr>
          <w:bCs/>
        </w:rPr>
        <w:t xml:space="preserve"> </w:t>
      </w:r>
    </w:p>
    <w:p w14:paraId="7438EEC9" w14:textId="21E118A0" w:rsidR="00F06580" w:rsidRDefault="001852B1" w:rsidP="001B310C">
      <w:pPr>
        <w:rPr>
          <w:bCs/>
        </w:rPr>
      </w:pPr>
      <w:r>
        <w:rPr>
          <w:bCs/>
        </w:rPr>
        <w:t xml:space="preserve">‘A </w:t>
      </w:r>
      <w:r w:rsidRPr="001852B1">
        <w:rPr>
          <w:bCs/>
        </w:rPr>
        <w:t>more deliberate and socially purposeful model of economic growth, measured not only by how fast or aggressive it is; but also, by how well it is created and shared across the whole population and place, and by the social and environmental outcomes it realises for our people.’</w:t>
      </w:r>
      <w:r w:rsidR="00906FC1">
        <w:rPr>
          <w:bCs/>
        </w:rPr>
        <w:t xml:space="preserve"> </w:t>
      </w:r>
    </w:p>
    <w:p w14:paraId="1BAC5EB2" w14:textId="2B321868" w:rsidR="00906FC1" w:rsidRDefault="00906FC1" w:rsidP="00135F7B">
      <w:pPr>
        <w:rPr>
          <w:bCs/>
        </w:rPr>
      </w:pPr>
      <w:r>
        <w:rPr>
          <w:bCs/>
        </w:rPr>
        <w:t>In essence, this</w:t>
      </w:r>
      <w:r w:rsidR="004F75C2">
        <w:rPr>
          <w:bCs/>
        </w:rPr>
        <w:t xml:space="preserve"> gives our work the overarching goal of ensuring that everything we do contributes to creating opportunities for all our citizens to live f</w:t>
      </w:r>
      <w:r w:rsidR="00572D35">
        <w:rPr>
          <w:bCs/>
        </w:rPr>
        <w:t xml:space="preserve">ulfilling lives and thrive, while also respecting the boundaries of our living planet. Inclusive growth is often understood in doughnut form, </w:t>
      </w:r>
      <w:r w:rsidR="00135F7B">
        <w:rPr>
          <w:bCs/>
        </w:rPr>
        <w:t xml:space="preserve">with the WMCA’s inclusive </w:t>
      </w:r>
      <w:r w:rsidR="00135F7B">
        <w:rPr>
          <w:bCs/>
        </w:rPr>
        <w:lastRenderedPageBreak/>
        <w:t xml:space="preserve">growth doughnut having eight themes: </w:t>
      </w:r>
      <w:r w:rsidR="00135F7B" w:rsidRPr="00135F7B">
        <w:rPr>
          <w:bCs/>
        </w:rPr>
        <w:t>Climate resilience</w:t>
      </w:r>
      <w:r w:rsidR="00135F7B">
        <w:rPr>
          <w:bCs/>
        </w:rPr>
        <w:t>, a</w:t>
      </w:r>
      <w:r w:rsidR="00135F7B" w:rsidRPr="00135F7B">
        <w:rPr>
          <w:bCs/>
        </w:rPr>
        <w:t>ffordable and safe places</w:t>
      </w:r>
      <w:r w:rsidR="00135F7B">
        <w:rPr>
          <w:bCs/>
        </w:rPr>
        <w:t xml:space="preserve">, </w:t>
      </w:r>
      <w:proofErr w:type="gramStart"/>
      <w:r w:rsidR="00135F7B">
        <w:rPr>
          <w:bCs/>
        </w:rPr>
        <w:t>e</w:t>
      </w:r>
      <w:r w:rsidR="00135F7B" w:rsidRPr="00135F7B">
        <w:rPr>
          <w:bCs/>
        </w:rPr>
        <w:t>ducation</w:t>
      </w:r>
      <w:proofErr w:type="gramEnd"/>
      <w:r w:rsidR="00135F7B" w:rsidRPr="00135F7B">
        <w:rPr>
          <w:bCs/>
        </w:rPr>
        <w:t xml:space="preserve"> and learning</w:t>
      </w:r>
      <w:r w:rsidR="00135F7B">
        <w:rPr>
          <w:bCs/>
        </w:rPr>
        <w:t>, c</w:t>
      </w:r>
      <w:r w:rsidR="00135F7B" w:rsidRPr="00135F7B">
        <w:rPr>
          <w:bCs/>
        </w:rPr>
        <w:t>onnected communities</w:t>
      </w:r>
      <w:r w:rsidR="00135F7B">
        <w:rPr>
          <w:bCs/>
        </w:rPr>
        <w:t>, h</w:t>
      </w:r>
      <w:r w:rsidR="00135F7B" w:rsidRPr="00135F7B">
        <w:rPr>
          <w:bCs/>
        </w:rPr>
        <w:t>ealth and wellbeing</w:t>
      </w:r>
      <w:r w:rsidR="00135F7B">
        <w:rPr>
          <w:bCs/>
        </w:rPr>
        <w:t>, p</w:t>
      </w:r>
      <w:r w:rsidR="00135F7B" w:rsidRPr="00135F7B">
        <w:rPr>
          <w:bCs/>
        </w:rPr>
        <w:t>ower and participation</w:t>
      </w:r>
      <w:r w:rsidR="00135F7B">
        <w:rPr>
          <w:bCs/>
        </w:rPr>
        <w:t>, i</w:t>
      </w:r>
      <w:r w:rsidR="00135F7B" w:rsidRPr="00135F7B">
        <w:rPr>
          <w:bCs/>
        </w:rPr>
        <w:t xml:space="preserve">nclusive economy </w:t>
      </w:r>
      <w:r w:rsidR="00135F7B">
        <w:rPr>
          <w:bCs/>
        </w:rPr>
        <w:t>and e</w:t>
      </w:r>
      <w:r w:rsidR="00135F7B" w:rsidRPr="00135F7B">
        <w:rPr>
          <w:bCs/>
        </w:rPr>
        <w:t>quality</w:t>
      </w:r>
      <w:r w:rsidR="00135F7B">
        <w:rPr>
          <w:bCs/>
        </w:rPr>
        <w:t>.</w:t>
      </w:r>
    </w:p>
    <w:p w14:paraId="5B1DC75E" w14:textId="5EC05666" w:rsidR="00311084" w:rsidRPr="00FC577C" w:rsidRDefault="00135F7B" w:rsidP="0015198B">
      <w:pPr>
        <w:rPr>
          <w:sz w:val="24"/>
          <w:szCs w:val="24"/>
        </w:rPr>
      </w:pPr>
      <w:r>
        <w:rPr>
          <w:bCs/>
        </w:rPr>
        <w:t xml:space="preserve">It was with the </w:t>
      </w:r>
      <w:r w:rsidR="002C39B2">
        <w:rPr>
          <w:bCs/>
        </w:rPr>
        <w:t>I</w:t>
      </w:r>
      <w:r>
        <w:rPr>
          <w:bCs/>
        </w:rPr>
        <w:t>n</w:t>
      </w:r>
      <w:r w:rsidR="009B1BD8">
        <w:rPr>
          <w:bCs/>
        </w:rPr>
        <w:t xml:space="preserve">clusive </w:t>
      </w:r>
      <w:r w:rsidR="002C39B2">
        <w:rPr>
          <w:bCs/>
        </w:rPr>
        <w:t>G</w:t>
      </w:r>
      <w:r w:rsidR="009B1BD8">
        <w:rPr>
          <w:bCs/>
        </w:rPr>
        <w:t xml:space="preserve">rowth </w:t>
      </w:r>
      <w:hyperlink r:id="rId10" w:history="1">
        <w:r w:rsidR="002C39B2" w:rsidRPr="002C39B2">
          <w:rPr>
            <w:rStyle w:val="Hyperlink"/>
            <w:bCs/>
          </w:rPr>
          <w:t>Framework</w:t>
        </w:r>
      </w:hyperlink>
      <w:r w:rsidR="002C39B2">
        <w:rPr>
          <w:bCs/>
        </w:rPr>
        <w:t xml:space="preserve"> that th</w:t>
      </w:r>
      <w:r w:rsidR="00FB232D">
        <w:rPr>
          <w:bCs/>
        </w:rPr>
        <w:t>ese guidelines were created. The Framework seeks to translate inclusive growth from an intellectual concept into a reality, and it is this approach that was the basis for this work.</w:t>
      </w:r>
    </w:p>
    <w:tbl>
      <w:tblPr>
        <w:tblStyle w:val="GridTable4-Accent2"/>
        <w:tblW w:w="0" w:type="auto"/>
        <w:tblLook w:val="04A0" w:firstRow="1" w:lastRow="0" w:firstColumn="1" w:lastColumn="0" w:noHBand="0" w:noVBand="1"/>
      </w:tblPr>
      <w:tblGrid>
        <w:gridCol w:w="5128"/>
        <w:gridCol w:w="5128"/>
        <w:gridCol w:w="5130"/>
      </w:tblGrid>
      <w:tr w:rsidR="00696CD6" w14:paraId="40989415" w14:textId="77777777" w:rsidTr="5BA3D014">
        <w:trPr>
          <w:cnfStyle w:val="100000000000" w:firstRow="1" w:lastRow="0" w:firstColumn="0" w:lastColumn="0" w:oddVBand="0" w:evenVBand="0" w:oddHBand="0"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5128" w:type="dxa"/>
          </w:tcPr>
          <w:p w14:paraId="65B4C240" w14:textId="77777777" w:rsidR="00696CD6" w:rsidRDefault="00696CD6">
            <w:pPr>
              <w:rPr>
                <w:b w:val="0"/>
                <w:bCs w:val="0"/>
                <w:sz w:val="48"/>
                <w:szCs w:val="48"/>
              </w:rPr>
            </w:pPr>
            <w:r>
              <w:rPr>
                <w:sz w:val="48"/>
                <w:szCs w:val="48"/>
              </w:rPr>
              <w:t>Planning</w:t>
            </w:r>
          </w:p>
          <w:p w14:paraId="628CF8E0" w14:textId="77777777" w:rsidR="00696CD6" w:rsidRPr="00730097" w:rsidRDefault="00696CD6">
            <w:pPr>
              <w:rPr>
                <w:b w:val="0"/>
                <w:bCs w:val="0"/>
                <w:sz w:val="48"/>
                <w:szCs w:val="48"/>
              </w:rPr>
            </w:pPr>
            <w:r w:rsidRPr="00730097">
              <w:rPr>
                <w:b w:val="0"/>
                <w:bCs w:val="0"/>
                <w:sz w:val="40"/>
                <w:szCs w:val="40"/>
              </w:rPr>
              <w:t>(before)</w:t>
            </w:r>
          </w:p>
        </w:tc>
        <w:tc>
          <w:tcPr>
            <w:tcW w:w="5128" w:type="dxa"/>
          </w:tcPr>
          <w:p w14:paraId="55348B3B" w14:textId="77777777" w:rsidR="00696CD6" w:rsidRDefault="00696CD6">
            <w:pPr>
              <w:cnfStyle w:val="100000000000" w:firstRow="1" w:lastRow="0" w:firstColumn="0" w:lastColumn="0" w:oddVBand="0" w:evenVBand="0" w:oddHBand="0" w:evenHBand="0" w:firstRowFirstColumn="0" w:firstRowLastColumn="0" w:lastRowFirstColumn="0" w:lastRowLastColumn="0"/>
              <w:rPr>
                <w:b w:val="0"/>
                <w:bCs w:val="0"/>
                <w:sz w:val="48"/>
                <w:szCs w:val="48"/>
              </w:rPr>
            </w:pPr>
            <w:r w:rsidRPr="00CF2C07">
              <w:rPr>
                <w:sz w:val="48"/>
                <w:szCs w:val="48"/>
              </w:rPr>
              <w:t>D</w:t>
            </w:r>
            <w:r>
              <w:rPr>
                <w:sz w:val="48"/>
                <w:szCs w:val="48"/>
              </w:rPr>
              <w:t>elivery</w:t>
            </w:r>
          </w:p>
          <w:p w14:paraId="5BCE38D0" w14:textId="77777777" w:rsidR="00696CD6" w:rsidRPr="00730097" w:rsidRDefault="00696CD6">
            <w:pPr>
              <w:cnfStyle w:val="100000000000" w:firstRow="1" w:lastRow="0" w:firstColumn="0" w:lastColumn="0" w:oddVBand="0" w:evenVBand="0" w:oddHBand="0" w:evenHBand="0" w:firstRowFirstColumn="0" w:firstRowLastColumn="0" w:lastRowFirstColumn="0" w:lastRowLastColumn="0"/>
              <w:rPr>
                <w:b w:val="0"/>
                <w:bCs w:val="0"/>
                <w:sz w:val="40"/>
                <w:szCs w:val="40"/>
              </w:rPr>
            </w:pPr>
            <w:r w:rsidRPr="00730097">
              <w:rPr>
                <w:b w:val="0"/>
                <w:bCs w:val="0"/>
                <w:sz w:val="40"/>
                <w:szCs w:val="40"/>
              </w:rPr>
              <w:t>(during)</w:t>
            </w:r>
          </w:p>
        </w:tc>
        <w:tc>
          <w:tcPr>
            <w:tcW w:w="5130" w:type="dxa"/>
          </w:tcPr>
          <w:p w14:paraId="1166705D" w14:textId="77777777" w:rsidR="00696CD6" w:rsidRDefault="00696CD6">
            <w:pPr>
              <w:cnfStyle w:val="100000000000" w:firstRow="1" w:lastRow="0" w:firstColumn="0" w:lastColumn="0" w:oddVBand="0" w:evenVBand="0" w:oddHBand="0" w:evenHBand="0" w:firstRowFirstColumn="0" w:firstRowLastColumn="0" w:lastRowFirstColumn="0" w:lastRowLastColumn="0"/>
              <w:rPr>
                <w:b w:val="0"/>
                <w:bCs w:val="0"/>
                <w:sz w:val="48"/>
                <w:szCs w:val="48"/>
              </w:rPr>
            </w:pPr>
            <w:r>
              <w:rPr>
                <w:sz w:val="48"/>
                <w:szCs w:val="48"/>
              </w:rPr>
              <w:t>Analysis</w:t>
            </w:r>
          </w:p>
          <w:p w14:paraId="21F1495F" w14:textId="77777777" w:rsidR="00696CD6" w:rsidRPr="00E957C7" w:rsidRDefault="00696CD6">
            <w:pPr>
              <w:cnfStyle w:val="100000000000" w:firstRow="1" w:lastRow="0" w:firstColumn="0" w:lastColumn="0" w:oddVBand="0" w:evenVBand="0" w:oddHBand="0" w:evenHBand="0" w:firstRowFirstColumn="0" w:firstRowLastColumn="0" w:lastRowFirstColumn="0" w:lastRowLastColumn="0"/>
              <w:rPr>
                <w:b w:val="0"/>
                <w:bCs w:val="0"/>
                <w:sz w:val="40"/>
                <w:szCs w:val="40"/>
              </w:rPr>
            </w:pPr>
            <w:r w:rsidRPr="00E957C7">
              <w:rPr>
                <w:b w:val="0"/>
                <w:bCs w:val="0"/>
                <w:sz w:val="40"/>
                <w:szCs w:val="40"/>
              </w:rPr>
              <w:t>(after)</w:t>
            </w:r>
          </w:p>
        </w:tc>
      </w:tr>
      <w:tr w:rsidR="00696CD6" w14:paraId="48BABE62" w14:textId="77777777" w:rsidTr="5BA3D014">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5128" w:type="dxa"/>
          </w:tcPr>
          <w:p w14:paraId="3875C9EA" w14:textId="7B3D6B4C" w:rsidR="00696CD6" w:rsidRDefault="00696CD6">
            <w:r w:rsidRPr="00685B68">
              <w:t xml:space="preserve">Aim: </w:t>
            </w:r>
            <w:r w:rsidRPr="00FE4805">
              <w:rPr>
                <w:b w:val="0"/>
                <w:bCs w:val="0"/>
              </w:rPr>
              <w:t>To understand the people we will engage with, so that the engagement can be tailored to the people.</w:t>
            </w:r>
          </w:p>
        </w:tc>
        <w:tc>
          <w:tcPr>
            <w:tcW w:w="5128" w:type="dxa"/>
          </w:tcPr>
          <w:p w14:paraId="19CFD925" w14:textId="77777777" w:rsidR="00696CD6" w:rsidRDefault="00696CD6">
            <w:pPr>
              <w:cnfStyle w:val="000000100000" w:firstRow="0" w:lastRow="0" w:firstColumn="0" w:lastColumn="0" w:oddVBand="0" w:evenVBand="0" w:oddHBand="1" w:evenHBand="0" w:firstRowFirstColumn="0" w:firstRowLastColumn="0" w:lastRowFirstColumn="0" w:lastRowLastColumn="0"/>
            </w:pPr>
            <w:r w:rsidRPr="00685B68">
              <w:rPr>
                <w:b/>
                <w:bCs/>
              </w:rPr>
              <w:t>Aim:</w:t>
            </w:r>
            <w:r>
              <w:t xml:space="preserve"> Put co-creation at the heart of engagement to collaborate with communities and give them ownership.</w:t>
            </w:r>
          </w:p>
        </w:tc>
        <w:tc>
          <w:tcPr>
            <w:tcW w:w="5130" w:type="dxa"/>
          </w:tcPr>
          <w:p w14:paraId="55CA30B0" w14:textId="13BF6DA2" w:rsidR="00696CD6" w:rsidRDefault="00696CD6">
            <w:pPr>
              <w:cnfStyle w:val="000000100000" w:firstRow="0" w:lastRow="0" w:firstColumn="0" w:lastColumn="0" w:oddVBand="0" w:evenVBand="0" w:oddHBand="1" w:evenHBand="0" w:firstRowFirstColumn="0" w:firstRowLastColumn="0" w:lastRowFirstColumn="0" w:lastRowLastColumn="0"/>
            </w:pPr>
            <w:r>
              <w:rPr>
                <w:b/>
                <w:bCs/>
              </w:rPr>
              <w:t xml:space="preserve">Aim:  </w:t>
            </w:r>
            <w:r>
              <w:t xml:space="preserve">Evaluate the success of the </w:t>
            </w:r>
            <w:r w:rsidR="00FE3884">
              <w:t xml:space="preserve">co-creation </w:t>
            </w:r>
            <w:r>
              <w:t>and analyse the responses.</w:t>
            </w:r>
          </w:p>
        </w:tc>
      </w:tr>
      <w:tr w:rsidR="00696CD6" w14:paraId="6930C926" w14:textId="77777777" w:rsidTr="00DD0DCE">
        <w:trPr>
          <w:trHeight w:val="3070"/>
        </w:trPr>
        <w:tc>
          <w:tcPr>
            <w:cnfStyle w:val="001000000000" w:firstRow="0" w:lastRow="0" w:firstColumn="1" w:lastColumn="0" w:oddVBand="0" w:evenVBand="0" w:oddHBand="0" w:evenHBand="0" w:firstRowFirstColumn="0" w:firstRowLastColumn="0" w:lastRowFirstColumn="0" w:lastRowLastColumn="0"/>
            <w:tcW w:w="5128" w:type="dxa"/>
          </w:tcPr>
          <w:p w14:paraId="3F268567" w14:textId="77777777" w:rsidR="00696CD6" w:rsidRPr="00FE4805" w:rsidRDefault="00696CD6">
            <w:pPr>
              <w:spacing w:before="240"/>
            </w:pPr>
            <w:r w:rsidRPr="00FE4805">
              <w:t xml:space="preserve">Deliverables: </w:t>
            </w:r>
          </w:p>
          <w:p w14:paraId="3AC2FD8E" w14:textId="598EDC68" w:rsidR="00C51B1B" w:rsidRPr="00A00D09" w:rsidRDefault="00C51B1B" w:rsidP="00A00D09">
            <w:pPr>
              <w:pStyle w:val="ListParagraph"/>
              <w:numPr>
                <w:ilvl w:val="0"/>
                <w:numId w:val="3"/>
              </w:numPr>
              <w:spacing w:before="240" w:after="160" w:line="276" w:lineRule="auto"/>
              <w:rPr>
                <w:b w:val="0"/>
                <w:bCs w:val="0"/>
              </w:rPr>
            </w:pPr>
            <w:r>
              <w:rPr>
                <w:b w:val="0"/>
                <w:bCs w:val="0"/>
              </w:rPr>
              <w:t>Setting out objectives and targets</w:t>
            </w:r>
            <w:r w:rsidR="0096525E">
              <w:rPr>
                <w:b w:val="0"/>
                <w:bCs w:val="0"/>
              </w:rPr>
              <w:t xml:space="preserve"> (</w:t>
            </w:r>
            <w:r w:rsidR="00A00D09">
              <w:rPr>
                <w:b w:val="0"/>
                <w:bCs w:val="0"/>
              </w:rPr>
              <w:t>be very clear on why the engagement is happening, what the benefits of engaging are and what impact the decisions may have on the place)</w:t>
            </w:r>
          </w:p>
          <w:p w14:paraId="43D8850D" w14:textId="316DFE45" w:rsidR="00696CD6" w:rsidRPr="001A6D66" w:rsidRDefault="00696CD6">
            <w:pPr>
              <w:pStyle w:val="ListParagraph"/>
              <w:numPr>
                <w:ilvl w:val="0"/>
                <w:numId w:val="3"/>
              </w:numPr>
              <w:spacing w:before="240"/>
              <w:rPr>
                <w:b w:val="0"/>
                <w:bCs w:val="0"/>
              </w:rPr>
            </w:pPr>
            <w:r>
              <w:rPr>
                <w:b w:val="0"/>
                <w:bCs w:val="0"/>
              </w:rPr>
              <w:t xml:space="preserve">Gather relevant </w:t>
            </w:r>
            <w:r w:rsidR="00C51B1B">
              <w:rPr>
                <w:b w:val="0"/>
                <w:bCs w:val="0"/>
              </w:rPr>
              <w:t xml:space="preserve">pre-engagement </w:t>
            </w:r>
            <w:r>
              <w:rPr>
                <w:b w:val="0"/>
                <w:bCs w:val="0"/>
              </w:rPr>
              <w:t xml:space="preserve">data to build a </w:t>
            </w:r>
            <w:r w:rsidR="00190C75">
              <w:rPr>
                <w:b w:val="0"/>
                <w:bCs w:val="0"/>
              </w:rPr>
              <w:t>baseline</w:t>
            </w:r>
            <w:r>
              <w:rPr>
                <w:b w:val="0"/>
                <w:bCs w:val="0"/>
              </w:rPr>
              <w:t xml:space="preserve"> picture of the place (can use the Inclusive Growth doughnut to help frame this.)</w:t>
            </w:r>
          </w:p>
          <w:p w14:paraId="64752C3F" w14:textId="23182C66" w:rsidR="00696CD6" w:rsidRPr="001A6D66" w:rsidRDefault="00696CD6">
            <w:pPr>
              <w:pStyle w:val="ListParagraph"/>
              <w:numPr>
                <w:ilvl w:val="0"/>
                <w:numId w:val="3"/>
              </w:numPr>
              <w:spacing w:before="240"/>
              <w:rPr>
                <w:b w:val="0"/>
                <w:bCs w:val="0"/>
              </w:rPr>
            </w:pPr>
            <w:r>
              <w:rPr>
                <w:b w:val="0"/>
                <w:bCs w:val="0"/>
              </w:rPr>
              <w:t>Gather local insights</w:t>
            </w:r>
            <w:r w:rsidR="002D6354">
              <w:rPr>
                <w:b w:val="0"/>
                <w:bCs w:val="0"/>
              </w:rPr>
              <w:t xml:space="preserve"> and sentiments</w:t>
            </w:r>
            <w:r>
              <w:rPr>
                <w:b w:val="0"/>
                <w:bCs w:val="0"/>
              </w:rPr>
              <w:t>- engage with Local Authority (if LA not leading) and connect with community groups to understand existing activities</w:t>
            </w:r>
            <w:r w:rsidR="000955EC">
              <w:rPr>
                <w:b w:val="0"/>
                <w:bCs w:val="0"/>
              </w:rPr>
              <w:t xml:space="preserve">, key local </w:t>
            </w:r>
            <w:r w:rsidR="009638E0">
              <w:rPr>
                <w:b w:val="0"/>
                <w:bCs w:val="0"/>
              </w:rPr>
              <w:t>issues, concerns a</w:t>
            </w:r>
            <w:r w:rsidR="00A17495">
              <w:rPr>
                <w:b w:val="0"/>
                <w:bCs w:val="0"/>
              </w:rPr>
              <w:t>ny potential hooks for the specific community.</w:t>
            </w:r>
            <w:r w:rsidR="000955EC" w:rsidRPr="001A6D66">
              <w:rPr>
                <w:b w:val="0"/>
                <w:bCs w:val="0"/>
              </w:rPr>
              <w:t xml:space="preserve"> </w:t>
            </w:r>
          </w:p>
          <w:p w14:paraId="78F52581" w14:textId="77777777" w:rsidR="00696CD6" w:rsidRPr="001A6D66" w:rsidRDefault="00696CD6">
            <w:pPr>
              <w:pStyle w:val="ListParagraph"/>
              <w:numPr>
                <w:ilvl w:val="0"/>
                <w:numId w:val="3"/>
              </w:numPr>
              <w:spacing w:before="240" w:line="276" w:lineRule="auto"/>
              <w:rPr>
                <w:b w:val="0"/>
                <w:bCs w:val="0"/>
              </w:rPr>
            </w:pPr>
            <w:r w:rsidRPr="001A6D66">
              <w:rPr>
                <w:b w:val="0"/>
                <w:bCs w:val="0"/>
              </w:rPr>
              <w:t>Identifying the demographics of the population/s we are engaging and how best to reach them.</w:t>
            </w:r>
          </w:p>
          <w:p w14:paraId="477B5E1A" w14:textId="52D0540D" w:rsidR="003A500F" w:rsidRPr="003A500F" w:rsidRDefault="00696CD6" w:rsidP="003A500F">
            <w:pPr>
              <w:pStyle w:val="ListParagraph"/>
              <w:numPr>
                <w:ilvl w:val="0"/>
                <w:numId w:val="3"/>
              </w:numPr>
              <w:spacing w:before="240" w:line="276" w:lineRule="auto"/>
              <w:rPr>
                <w:b w:val="0"/>
                <w:bCs w:val="0"/>
              </w:rPr>
            </w:pPr>
            <w:r w:rsidRPr="001A6D66">
              <w:rPr>
                <w:b w:val="0"/>
                <w:bCs w:val="0"/>
              </w:rPr>
              <w:lastRenderedPageBreak/>
              <w:t>Mapping out key stakeholders</w:t>
            </w:r>
            <w:r w:rsidR="00D914A1">
              <w:rPr>
                <w:b w:val="0"/>
                <w:bCs w:val="0"/>
              </w:rPr>
              <w:t xml:space="preserve"> within the community</w:t>
            </w:r>
            <w:r w:rsidR="00AE0317">
              <w:rPr>
                <w:b w:val="0"/>
                <w:bCs w:val="0"/>
              </w:rPr>
              <w:t xml:space="preserve"> and keeping informed </w:t>
            </w:r>
            <w:r w:rsidR="000D6F96">
              <w:rPr>
                <w:b w:val="0"/>
                <w:bCs w:val="0"/>
              </w:rPr>
              <w:t>from the planning stage</w:t>
            </w:r>
            <w:r w:rsidR="00C127D9">
              <w:rPr>
                <w:b w:val="0"/>
                <w:bCs w:val="0"/>
              </w:rPr>
              <w:t xml:space="preserve"> to </w:t>
            </w:r>
            <w:r w:rsidR="00471D45">
              <w:rPr>
                <w:b w:val="0"/>
                <w:bCs w:val="0"/>
              </w:rPr>
              <w:t>ensure they are aware of how they can influence delivery and impact.</w:t>
            </w:r>
          </w:p>
          <w:p w14:paraId="4FFE2587" w14:textId="53AED90F" w:rsidR="00696CD6" w:rsidRPr="001A6D66" w:rsidRDefault="00696CD6">
            <w:pPr>
              <w:pStyle w:val="ListParagraph"/>
              <w:numPr>
                <w:ilvl w:val="0"/>
                <w:numId w:val="3"/>
              </w:numPr>
              <w:spacing w:before="240" w:line="276" w:lineRule="auto"/>
              <w:rPr>
                <w:b w:val="0"/>
                <w:bCs w:val="0"/>
              </w:rPr>
            </w:pPr>
            <w:r>
              <w:rPr>
                <w:b w:val="0"/>
                <w:bCs w:val="0"/>
              </w:rPr>
              <w:t xml:space="preserve">Agreeing a budget, ensuring there’s sufficient funds </w:t>
            </w:r>
            <w:r w:rsidR="00BF26F9">
              <w:rPr>
                <w:b w:val="0"/>
                <w:bCs w:val="0"/>
              </w:rPr>
              <w:t xml:space="preserve">and resource </w:t>
            </w:r>
            <w:r>
              <w:rPr>
                <w:b w:val="0"/>
                <w:bCs w:val="0"/>
              </w:rPr>
              <w:t>to deliver inclusive and accessible engagement</w:t>
            </w:r>
            <w:r w:rsidR="00F5568B">
              <w:rPr>
                <w:b w:val="0"/>
                <w:bCs w:val="0"/>
              </w:rPr>
              <w:t>. This should be reflected in procurement specifications and contracting where relevant</w:t>
            </w:r>
            <w:r w:rsidR="001B1B35">
              <w:rPr>
                <w:b w:val="0"/>
                <w:bCs w:val="0"/>
              </w:rPr>
              <w:t>.</w:t>
            </w:r>
          </w:p>
          <w:p w14:paraId="63F296D0" w14:textId="77777777" w:rsidR="00696CD6" w:rsidRPr="001A6D66" w:rsidRDefault="00696CD6">
            <w:pPr>
              <w:pStyle w:val="ListParagraph"/>
              <w:numPr>
                <w:ilvl w:val="0"/>
                <w:numId w:val="3"/>
              </w:numPr>
              <w:spacing w:before="240" w:line="276" w:lineRule="auto"/>
              <w:rPr>
                <w:b w:val="0"/>
                <w:bCs w:val="0"/>
              </w:rPr>
            </w:pPr>
            <w:r w:rsidRPr="001A6D66">
              <w:rPr>
                <w:b w:val="0"/>
                <w:bCs w:val="0"/>
              </w:rPr>
              <w:t>Review previous consultations/ engagements in the area that have sought similar information, to ensure we’re not duplicating effort or over-consulting.</w:t>
            </w:r>
          </w:p>
          <w:p w14:paraId="6C90A38B" w14:textId="21DBFB18" w:rsidR="00696CD6" w:rsidRDefault="00696CD6">
            <w:pPr>
              <w:pStyle w:val="ListParagraph"/>
              <w:numPr>
                <w:ilvl w:val="0"/>
                <w:numId w:val="3"/>
              </w:numPr>
              <w:spacing w:before="240" w:line="276" w:lineRule="auto"/>
            </w:pPr>
            <w:r w:rsidRPr="001A6D66">
              <w:rPr>
                <w:b w:val="0"/>
                <w:bCs w:val="0"/>
              </w:rPr>
              <w:t>Defining</w:t>
            </w:r>
            <w:r w:rsidR="00392D5B">
              <w:rPr>
                <w:b w:val="0"/>
                <w:bCs w:val="0"/>
              </w:rPr>
              <w:t xml:space="preserve"> appropriate</w:t>
            </w:r>
            <w:r w:rsidRPr="001A6D66">
              <w:rPr>
                <w:b w:val="0"/>
                <w:bCs w:val="0"/>
              </w:rPr>
              <w:t xml:space="preserve"> approach to engagement and associated timeline.</w:t>
            </w:r>
          </w:p>
        </w:tc>
        <w:tc>
          <w:tcPr>
            <w:tcW w:w="5128" w:type="dxa"/>
          </w:tcPr>
          <w:p w14:paraId="03DF009D" w14:textId="77777777" w:rsidR="00696CD6" w:rsidRDefault="00696CD6">
            <w:pPr>
              <w:spacing w:before="240"/>
              <w:cnfStyle w:val="000000000000" w:firstRow="0" w:lastRow="0" w:firstColumn="0" w:lastColumn="0" w:oddVBand="0" w:evenVBand="0" w:oddHBand="0" w:evenHBand="0" w:firstRowFirstColumn="0" w:firstRowLastColumn="0" w:lastRowFirstColumn="0" w:lastRowLastColumn="0"/>
              <w:rPr>
                <w:b/>
                <w:bCs/>
              </w:rPr>
            </w:pPr>
            <w:r w:rsidRPr="5BA3D014">
              <w:rPr>
                <w:b/>
                <w:bCs/>
              </w:rPr>
              <w:lastRenderedPageBreak/>
              <w:t>Deliverables:</w:t>
            </w:r>
          </w:p>
          <w:p w14:paraId="1D2736EB" w14:textId="77777777" w:rsidR="00696CD6"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pPr>
            <w:r>
              <w:t>Enable local people to design or influence a policy, service, or infrastructure project.</w:t>
            </w:r>
          </w:p>
          <w:p w14:paraId="04728B79" w14:textId="77777777" w:rsidR="00696CD6" w:rsidRPr="00DD6A5D"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pPr>
            <w:r>
              <w:t>Be carried out as early as possible in the development of a policy, service, or project.</w:t>
            </w:r>
          </w:p>
          <w:p w14:paraId="395D59FA" w14:textId="4BD90AF9" w:rsidR="00696CD6" w:rsidRPr="00B7349B"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rPr>
                <w:b/>
                <w:bCs/>
              </w:rPr>
            </w:pPr>
            <w:r>
              <w:t xml:space="preserve">Ensure </w:t>
            </w:r>
            <w:r w:rsidR="00A43197">
              <w:t xml:space="preserve">planned </w:t>
            </w:r>
            <w:r>
              <w:t>activit</w:t>
            </w:r>
            <w:r w:rsidR="00A43197">
              <w:t>ies</w:t>
            </w:r>
            <w:r>
              <w:t xml:space="preserve"> </w:t>
            </w:r>
            <w:r w:rsidR="00A43197">
              <w:t>are</w:t>
            </w:r>
            <w:r>
              <w:t xml:space="preserve"> inclusive and accessible.</w:t>
            </w:r>
          </w:p>
          <w:p w14:paraId="4D51AE6D" w14:textId="77777777" w:rsidR="00696CD6"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pPr>
            <w:r>
              <w:t xml:space="preserve">Respond to feedback by making changes to proposed interventions. </w:t>
            </w:r>
          </w:p>
          <w:p w14:paraId="519D66EF" w14:textId="636CE034" w:rsidR="00696CD6" w:rsidRPr="002410F2"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rPr>
                <w:b/>
                <w:bCs/>
              </w:rPr>
            </w:pPr>
            <w:r>
              <w:t>Work with WMCA to identify ongoing activities that may support engagement work. For example, Race Equalities Task Force</w:t>
            </w:r>
            <w:r w:rsidR="003A1830">
              <w:t xml:space="preserve">, </w:t>
            </w:r>
            <w:proofErr w:type="spellStart"/>
            <w:r>
              <w:t>TfWM</w:t>
            </w:r>
            <w:proofErr w:type="spellEnd"/>
            <w:r>
              <w:t xml:space="preserve"> online community</w:t>
            </w:r>
            <w:r w:rsidR="003A1830">
              <w:t>, Greener Together Citizens Panel.</w:t>
            </w:r>
          </w:p>
          <w:p w14:paraId="1E82C8C6" w14:textId="77777777" w:rsidR="00696CD6" w:rsidRPr="0023620D"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rPr>
                <w:b/>
                <w:bCs/>
              </w:rPr>
            </w:pPr>
            <w:r>
              <w:t>Work WMCA Engagement team.</w:t>
            </w:r>
          </w:p>
          <w:p w14:paraId="1A5D27A1" w14:textId="77777777" w:rsidR="00696CD6" w:rsidRPr="003769DA" w:rsidRDefault="00696CD6">
            <w:pPr>
              <w:pStyle w:val="ListParagraph"/>
              <w:numPr>
                <w:ilvl w:val="1"/>
                <w:numId w:val="6"/>
              </w:numPr>
              <w:spacing w:before="240"/>
              <w:cnfStyle w:val="000000000000" w:firstRow="0" w:lastRow="0" w:firstColumn="0" w:lastColumn="0" w:oddVBand="0" w:evenVBand="0" w:oddHBand="0" w:evenHBand="0" w:firstRowFirstColumn="0" w:firstRowLastColumn="0" w:lastRowFirstColumn="0" w:lastRowLastColumn="0"/>
              <w:rPr>
                <w:b/>
                <w:bCs/>
              </w:rPr>
            </w:pPr>
            <w:r>
              <w:t>WMCA Engagement team can support with outreach, engagement, and consultation activity.</w:t>
            </w:r>
          </w:p>
          <w:p w14:paraId="02C5FAD9" w14:textId="77777777" w:rsidR="00696CD6" w:rsidRPr="00CF2C07"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rPr>
                <w:b/>
                <w:bCs/>
              </w:rPr>
            </w:pPr>
            <w:r>
              <w:lastRenderedPageBreak/>
              <w:t>Communicate regularly with WMCA on progress.</w:t>
            </w:r>
          </w:p>
          <w:p w14:paraId="00350285" w14:textId="77777777" w:rsidR="00696CD6" w:rsidRPr="00985EA5" w:rsidRDefault="00696CD6">
            <w:pPr>
              <w:pStyle w:val="ListParagraph"/>
              <w:numPr>
                <w:ilvl w:val="0"/>
                <w:numId w:val="6"/>
              </w:numPr>
              <w:spacing w:before="240"/>
              <w:cnfStyle w:val="000000000000" w:firstRow="0" w:lastRow="0" w:firstColumn="0" w:lastColumn="0" w:oddVBand="0" w:evenVBand="0" w:oddHBand="0" w:evenHBand="0" w:firstRowFirstColumn="0" w:firstRowLastColumn="0" w:lastRowFirstColumn="0" w:lastRowLastColumn="0"/>
              <w:rPr>
                <w:b/>
                <w:bCs/>
              </w:rPr>
            </w:pPr>
            <w:r>
              <w:t>Continually review and update engagement methods and approach to increase response rate.</w:t>
            </w:r>
          </w:p>
        </w:tc>
        <w:tc>
          <w:tcPr>
            <w:tcW w:w="5130" w:type="dxa"/>
          </w:tcPr>
          <w:p w14:paraId="0CAE57D4" w14:textId="77777777" w:rsidR="00696CD6" w:rsidRDefault="00696CD6">
            <w:pPr>
              <w:spacing w:before="240"/>
              <w:cnfStyle w:val="000000000000" w:firstRow="0" w:lastRow="0" w:firstColumn="0" w:lastColumn="0" w:oddVBand="0" w:evenVBand="0" w:oddHBand="0" w:evenHBand="0" w:firstRowFirstColumn="0" w:firstRowLastColumn="0" w:lastRowFirstColumn="0" w:lastRowLastColumn="0"/>
              <w:rPr>
                <w:b/>
                <w:bCs/>
              </w:rPr>
            </w:pPr>
            <w:r>
              <w:rPr>
                <w:b/>
                <w:bCs/>
              </w:rPr>
              <w:lastRenderedPageBreak/>
              <w:t>Deliverables:</w:t>
            </w:r>
          </w:p>
          <w:p w14:paraId="176C0A46" w14:textId="77777777" w:rsidR="00696CD6" w:rsidRPr="00220BF3" w:rsidRDefault="00696CD6">
            <w:pPr>
              <w:pStyle w:val="ListParagraph"/>
              <w:numPr>
                <w:ilvl w:val="0"/>
                <w:numId w:val="10"/>
              </w:numPr>
              <w:spacing w:before="240"/>
              <w:cnfStyle w:val="000000000000" w:firstRow="0" w:lastRow="0" w:firstColumn="0" w:lastColumn="0" w:oddVBand="0" w:evenVBand="0" w:oddHBand="0" w:evenHBand="0" w:firstRowFirstColumn="0" w:firstRowLastColumn="0" w:lastRowFirstColumn="0" w:lastRowLastColumn="0"/>
            </w:pPr>
            <w:r w:rsidRPr="00220BF3">
              <w:t>Produce report summarising responses and reviewing engagement tactics.</w:t>
            </w:r>
          </w:p>
          <w:p w14:paraId="26D2D3BE" w14:textId="77777777" w:rsidR="00696CD6" w:rsidRPr="00056569" w:rsidRDefault="00696CD6">
            <w:pPr>
              <w:pStyle w:val="ListParagraph"/>
              <w:numPr>
                <w:ilvl w:val="0"/>
                <w:numId w:val="10"/>
              </w:numPr>
              <w:spacing w:before="240"/>
              <w:cnfStyle w:val="000000000000" w:firstRow="0" w:lastRow="0" w:firstColumn="0" w:lastColumn="0" w:oddVBand="0" w:evenVBand="0" w:oddHBand="0" w:evenHBand="0" w:firstRowFirstColumn="0" w:firstRowLastColumn="0" w:lastRowFirstColumn="0" w:lastRowLastColumn="0"/>
              <w:rPr>
                <w:b/>
                <w:bCs/>
              </w:rPr>
            </w:pPr>
            <w:r>
              <w:t>Lessons learned will be shared with the WMCA.</w:t>
            </w:r>
          </w:p>
          <w:p w14:paraId="1AD053B8" w14:textId="77777777" w:rsidR="00A65379" w:rsidRPr="00A65379" w:rsidRDefault="00696CD6">
            <w:pPr>
              <w:pStyle w:val="ListParagraph"/>
              <w:numPr>
                <w:ilvl w:val="0"/>
                <w:numId w:val="10"/>
              </w:numPr>
              <w:spacing w:before="240"/>
              <w:cnfStyle w:val="000000000000" w:firstRow="0" w:lastRow="0" w:firstColumn="0" w:lastColumn="0" w:oddVBand="0" w:evenVBand="0" w:oddHBand="0" w:evenHBand="0" w:firstRowFirstColumn="0" w:firstRowLastColumn="0" w:lastRowFirstColumn="0" w:lastRowLastColumn="0"/>
              <w:rPr>
                <w:b/>
                <w:bCs/>
              </w:rPr>
            </w:pPr>
            <w:r>
              <w:t>Must have a dedicated communications and engagement plan to keep in touch with our stakeholders if there will be a significant gap between the engagement ending and a project or</w:t>
            </w:r>
          </w:p>
          <w:p w14:paraId="0111DA82" w14:textId="0D33E477" w:rsidR="00696CD6" w:rsidRPr="00500444" w:rsidRDefault="00696CD6">
            <w:pPr>
              <w:pStyle w:val="ListParagraph"/>
              <w:numPr>
                <w:ilvl w:val="0"/>
                <w:numId w:val="10"/>
              </w:numPr>
              <w:spacing w:before="240"/>
              <w:cnfStyle w:val="000000000000" w:firstRow="0" w:lastRow="0" w:firstColumn="0" w:lastColumn="0" w:oddVBand="0" w:evenVBand="0" w:oddHBand="0" w:evenHBand="0" w:firstRowFirstColumn="0" w:firstRowLastColumn="0" w:lastRowFirstColumn="0" w:lastRowLastColumn="0"/>
              <w:rPr>
                <w:b/>
                <w:bCs/>
              </w:rPr>
            </w:pPr>
            <w:r>
              <w:t xml:space="preserve"> intervention being implemented. </w:t>
            </w:r>
          </w:p>
          <w:p w14:paraId="24F86B15" w14:textId="77777777" w:rsidR="00696CD6" w:rsidRDefault="00696CD6">
            <w:pPr>
              <w:spacing w:before="240"/>
              <w:cnfStyle w:val="000000000000" w:firstRow="0" w:lastRow="0" w:firstColumn="0" w:lastColumn="0" w:oddVBand="0" w:evenVBand="0" w:oddHBand="0" w:evenHBand="0" w:firstRowFirstColumn="0" w:firstRowLastColumn="0" w:lastRowFirstColumn="0" w:lastRowLastColumn="0"/>
            </w:pPr>
          </w:p>
        </w:tc>
      </w:tr>
    </w:tbl>
    <w:p w14:paraId="08CBB3EC" w14:textId="77777777" w:rsidR="00696CD6" w:rsidRDefault="00696CD6" w:rsidP="0015198B">
      <w:pPr>
        <w:rPr>
          <w:i/>
          <w:iCs/>
        </w:rPr>
      </w:pPr>
    </w:p>
    <w:p w14:paraId="18FA2A52" w14:textId="77777777" w:rsidR="001A6D66" w:rsidRDefault="001A6D66" w:rsidP="0015198B">
      <w:pPr>
        <w:rPr>
          <w:i/>
          <w:iCs/>
        </w:rPr>
      </w:pPr>
    </w:p>
    <w:p w14:paraId="2F294F27" w14:textId="0F4002A1" w:rsidR="00615D0A" w:rsidRDefault="00615D0A" w:rsidP="00FB1B18">
      <w:pPr>
        <w:rPr>
          <w:b/>
          <w:bCs/>
          <w:kern w:val="0"/>
          <w14:ligatures w14:val="none"/>
        </w:rPr>
      </w:pPr>
      <w:r>
        <w:rPr>
          <w:b/>
          <w:bCs/>
          <w:kern w:val="0"/>
          <w14:ligatures w14:val="none"/>
        </w:rPr>
        <w:t>Glossary:</w:t>
      </w:r>
    </w:p>
    <w:p w14:paraId="1C703DAE" w14:textId="115619D2" w:rsidR="00FB1B18" w:rsidRPr="00FB1B18" w:rsidRDefault="00FB1B18" w:rsidP="00FB1B18">
      <w:pPr>
        <w:rPr>
          <w:kern w:val="0"/>
          <w14:ligatures w14:val="none"/>
        </w:rPr>
      </w:pPr>
      <w:r w:rsidRPr="00FB1B18">
        <w:rPr>
          <w:b/>
          <w:bCs/>
          <w:kern w:val="0"/>
          <w14:ligatures w14:val="none"/>
        </w:rPr>
        <w:t>Net Zero</w:t>
      </w:r>
      <w:r w:rsidRPr="00FB1B18">
        <w:rPr>
          <w:kern w:val="0"/>
          <w14:ligatures w14:val="none"/>
        </w:rPr>
        <w:t xml:space="preserve">- </w:t>
      </w:r>
      <w:r w:rsidR="00390307" w:rsidRPr="00390307">
        <w:rPr>
          <w:kern w:val="0"/>
          <w14:ligatures w14:val="none"/>
        </w:rPr>
        <w:t>the total greenhouse gas (GHG) emissions of an organisation (or city, or state) are equal to or less than the emissions it removes from the environment​</w:t>
      </w:r>
      <w:r w:rsidR="00390307">
        <w:rPr>
          <w:kern w:val="0"/>
          <w14:ligatures w14:val="none"/>
        </w:rPr>
        <w:t xml:space="preserve">. </w:t>
      </w:r>
      <w:r w:rsidR="008D19F9" w:rsidRPr="008D19F9">
        <w:rPr>
          <w:kern w:val="0"/>
          <w14:ligatures w14:val="none"/>
        </w:rPr>
        <w:t>The WMCA has committed the region to achieve net zero by 2041</w:t>
      </w:r>
      <w:r w:rsidR="00390307">
        <w:rPr>
          <w:kern w:val="0"/>
          <w14:ligatures w14:val="none"/>
        </w:rPr>
        <w:t xml:space="preserve">. </w:t>
      </w:r>
    </w:p>
    <w:p w14:paraId="18FAFD8D" w14:textId="041F6D48" w:rsidR="00FB1B18" w:rsidRPr="00FB1B18" w:rsidRDefault="00FB1B18" w:rsidP="00FB1B18">
      <w:pPr>
        <w:rPr>
          <w:kern w:val="0"/>
          <w14:ligatures w14:val="none"/>
        </w:rPr>
      </w:pPr>
      <w:r w:rsidRPr="00FB1B18">
        <w:rPr>
          <w:b/>
          <w:bCs/>
          <w:kern w:val="0"/>
          <w14:ligatures w14:val="none"/>
        </w:rPr>
        <w:t>Sustainability</w:t>
      </w:r>
      <w:r w:rsidRPr="00FB1B18">
        <w:rPr>
          <w:kern w:val="0"/>
          <w14:ligatures w14:val="none"/>
        </w:rPr>
        <w:t xml:space="preserve">- </w:t>
      </w:r>
      <w:r w:rsidR="00E35261">
        <w:rPr>
          <w:kern w:val="0"/>
          <w14:ligatures w14:val="none"/>
        </w:rPr>
        <w:t>t</w:t>
      </w:r>
      <w:r w:rsidR="00E35261" w:rsidRPr="00E35261">
        <w:rPr>
          <w:kern w:val="0"/>
          <w14:ligatures w14:val="none"/>
        </w:rPr>
        <w:t>he practice of using natural resources responsibly today, so they are available for future generations tomorrow</w:t>
      </w:r>
      <w:r w:rsidR="00E35261">
        <w:rPr>
          <w:kern w:val="0"/>
          <w14:ligatures w14:val="none"/>
        </w:rPr>
        <w:t xml:space="preserve"> (</w:t>
      </w:r>
      <w:hyperlink r:id="rId11" w:history="1">
        <w:r w:rsidR="00F06580" w:rsidRPr="00F06580">
          <w:rPr>
            <w:rStyle w:val="Hyperlink"/>
            <w:kern w:val="0"/>
            <w14:ligatures w14:val="none"/>
          </w:rPr>
          <w:t>National Geographic</w:t>
        </w:r>
      </w:hyperlink>
      <w:r w:rsidR="00E35261">
        <w:rPr>
          <w:kern w:val="0"/>
          <w14:ligatures w14:val="none"/>
        </w:rPr>
        <w:t>)</w:t>
      </w:r>
      <w:r w:rsidR="00E35261" w:rsidRPr="00E35261">
        <w:rPr>
          <w:kern w:val="0"/>
          <w14:ligatures w14:val="none"/>
        </w:rPr>
        <w:t>.</w:t>
      </w:r>
    </w:p>
    <w:p w14:paraId="6FDDCCAE" w14:textId="31E95316" w:rsidR="00FB1B18" w:rsidRPr="00FB1B18" w:rsidRDefault="00FB1B18" w:rsidP="006913A3">
      <w:pPr>
        <w:rPr>
          <w:kern w:val="0"/>
          <w14:ligatures w14:val="none"/>
        </w:rPr>
      </w:pPr>
      <w:r w:rsidRPr="00FB1B18">
        <w:rPr>
          <w:b/>
          <w:bCs/>
          <w:kern w:val="0"/>
          <w14:ligatures w14:val="none"/>
        </w:rPr>
        <w:t>Heat networks</w:t>
      </w:r>
      <w:r w:rsidRPr="00FB1B18">
        <w:rPr>
          <w:kern w:val="0"/>
          <w14:ligatures w14:val="none"/>
        </w:rPr>
        <w:t xml:space="preserve">- </w:t>
      </w:r>
      <w:r w:rsidR="006913A3" w:rsidRPr="006913A3">
        <w:rPr>
          <w:kern w:val="0"/>
          <w14:ligatures w14:val="none"/>
        </w:rPr>
        <w:t>Heat networks (also known as district heating) supply heat from a central source to consumers, via a network of underground pipes carrying hot water. Heat networks can cover a large area or even an entire city, or be fairly local supplying a small cluster of buildings</w:t>
      </w:r>
      <w:r w:rsidR="00974E0A">
        <w:rPr>
          <w:kern w:val="0"/>
          <w14:ligatures w14:val="none"/>
        </w:rPr>
        <w:t xml:space="preserve"> (</w:t>
      </w:r>
      <w:hyperlink r:id="rId12" w:history="1">
        <w:r w:rsidR="00974E0A" w:rsidRPr="00974E0A">
          <w:rPr>
            <w:rStyle w:val="Hyperlink"/>
            <w:kern w:val="0"/>
            <w14:ligatures w14:val="none"/>
          </w:rPr>
          <w:t>DESNZ</w:t>
        </w:r>
      </w:hyperlink>
      <w:r w:rsidR="00974E0A">
        <w:rPr>
          <w:kern w:val="0"/>
          <w14:ligatures w14:val="none"/>
        </w:rPr>
        <w:t>)</w:t>
      </w:r>
      <w:r w:rsidR="006913A3" w:rsidRPr="006913A3">
        <w:rPr>
          <w:kern w:val="0"/>
          <w14:ligatures w14:val="none"/>
        </w:rPr>
        <w:t>.</w:t>
      </w:r>
    </w:p>
    <w:p w14:paraId="2B0233D6" w14:textId="0B777A18" w:rsidR="00FB1B18" w:rsidRPr="00FB1B18" w:rsidRDefault="00FB1B18" w:rsidP="00FB1B18">
      <w:pPr>
        <w:rPr>
          <w:kern w:val="0"/>
          <w14:ligatures w14:val="none"/>
        </w:rPr>
      </w:pPr>
      <w:r w:rsidRPr="00FB1B18">
        <w:rPr>
          <w:b/>
          <w:bCs/>
          <w:kern w:val="0"/>
          <w14:ligatures w14:val="none"/>
        </w:rPr>
        <w:t>Neighbourhood</w:t>
      </w:r>
      <w:r w:rsidRPr="00FB1B18">
        <w:rPr>
          <w:kern w:val="0"/>
          <w14:ligatures w14:val="none"/>
        </w:rPr>
        <w:t xml:space="preserve">- </w:t>
      </w:r>
      <w:r w:rsidR="00EB68AB">
        <w:rPr>
          <w:kern w:val="0"/>
          <w14:ligatures w14:val="none"/>
        </w:rPr>
        <w:t>an</w:t>
      </w:r>
      <w:r w:rsidR="00EB68AB" w:rsidRPr="00EB68AB">
        <w:rPr>
          <w:kern w:val="0"/>
          <w14:ligatures w14:val="none"/>
        </w:rPr>
        <w:t xml:space="preserve"> ultra-local community of place</w:t>
      </w:r>
      <w:r w:rsidR="00EB68AB">
        <w:rPr>
          <w:kern w:val="0"/>
          <w14:ligatures w14:val="none"/>
        </w:rPr>
        <w:t xml:space="preserve">. </w:t>
      </w:r>
    </w:p>
    <w:p w14:paraId="0E8B5FB4" w14:textId="7B069E89" w:rsidR="00FB1B18" w:rsidRPr="00FB1B18" w:rsidRDefault="00FB1B18" w:rsidP="00EC6528">
      <w:pPr>
        <w:rPr>
          <w:kern w:val="0"/>
          <w14:ligatures w14:val="none"/>
        </w:rPr>
      </w:pPr>
      <w:r w:rsidRPr="00FB1B18">
        <w:rPr>
          <w:b/>
          <w:bCs/>
          <w:kern w:val="0"/>
          <w14:ligatures w14:val="none"/>
        </w:rPr>
        <w:t>Community participation</w:t>
      </w:r>
      <w:r w:rsidRPr="00FB1B18">
        <w:rPr>
          <w:kern w:val="0"/>
          <w14:ligatures w14:val="none"/>
        </w:rPr>
        <w:t>-</w:t>
      </w:r>
      <w:r w:rsidR="00AA4580">
        <w:rPr>
          <w:kern w:val="0"/>
          <w14:ligatures w14:val="none"/>
        </w:rPr>
        <w:t xml:space="preserve"> </w:t>
      </w:r>
      <w:r w:rsidR="00597F97">
        <w:rPr>
          <w:kern w:val="0"/>
          <w14:ligatures w14:val="none"/>
        </w:rPr>
        <w:t>achieved through</w:t>
      </w:r>
      <w:r w:rsidR="00AA4580">
        <w:rPr>
          <w:kern w:val="0"/>
          <w14:ligatures w14:val="none"/>
        </w:rPr>
        <w:t xml:space="preserve"> co-production</w:t>
      </w:r>
      <w:r w:rsidR="00EC6528">
        <w:rPr>
          <w:kern w:val="0"/>
          <w14:ligatures w14:val="none"/>
        </w:rPr>
        <w:t xml:space="preserve">, where the community </w:t>
      </w:r>
      <w:r w:rsidR="00EC6528" w:rsidRPr="00EC6528">
        <w:rPr>
          <w:kern w:val="0"/>
          <w14:ligatures w14:val="none"/>
        </w:rPr>
        <w:t>work together</w:t>
      </w:r>
      <w:r w:rsidR="00410230">
        <w:rPr>
          <w:kern w:val="0"/>
          <w14:ligatures w14:val="none"/>
        </w:rPr>
        <w:t xml:space="preserve"> and directly participate in projects</w:t>
      </w:r>
      <w:r w:rsidR="002C1386">
        <w:rPr>
          <w:kern w:val="0"/>
          <w14:ligatures w14:val="none"/>
        </w:rPr>
        <w:t>:</w:t>
      </w:r>
      <w:r w:rsidR="00EC6528" w:rsidRPr="00EC6528">
        <w:rPr>
          <w:kern w:val="0"/>
          <w14:ligatures w14:val="none"/>
        </w:rPr>
        <w:t xml:space="preserve"> from design to delivery, </w:t>
      </w:r>
      <w:r w:rsidR="002C1386">
        <w:rPr>
          <w:kern w:val="0"/>
          <w14:ligatures w14:val="none"/>
        </w:rPr>
        <w:t xml:space="preserve">to the </w:t>
      </w:r>
      <w:r w:rsidR="00EC6528" w:rsidRPr="00EC6528">
        <w:rPr>
          <w:kern w:val="0"/>
          <w14:ligatures w14:val="none"/>
        </w:rPr>
        <w:t xml:space="preserve">sharing </w:t>
      </w:r>
      <w:r w:rsidR="002C1386">
        <w:rPr>
          <w:kern w:val="0"/>
          <w14:ligatures w14:val="none"/>
        </w:rPr>
        <w:t xml:space="preserve">of </w:t>
      </w:r>
      <w:r w:rsidR="00EC6528" w:rsidRPr="00EC6528">
        <w:rPr>
          <w:kern w:val="0"/>
          <w14:ligatures w14:val="none"/>
        </w:rPr>
        <w:t>strategic decision-making about policies as well as decisions about the best way to deliver services</w:t>
      </w:r>
      <w:r w:rsidR="00410230">
        <w:rPr>
          <w:kern w:val="0"/>
          <w14:ligatures w14:val="none"/>
        </w:rPr>
        <w:t xml:space="preserve"> (</w:t>
      </w:r>
      <w:proofErr w:type="spellStart"/>
      <w:r>
        <w:fldChar w:fldCharType="begin"/>
      </w:r>
      <w:r>
        <w:instrText>HYPERLINK "https://www.thinklocalactpersonal.org.uk/_assets/Resources/Coproduction/LadderOfParticipation.pdf"</w:instrText>
      </w:r>
      <w:r>
        <w:fldChar w:fldCharType="separate"/>
      </w:r>
      <w:r w:rsidR="00410230" w:rsidRPr="00410230">
        <w:rPr>
          <w:rStyle w:val="Hyperlink"/>
          <w:kern w:val="0"/>
          <w14:ligatures w14:val="none"/>
        </w:rPr>
        <w:t>thinklocalactpersonal</w:t>
      </w:r>
      <w:proofErr w:type="spellEnd"/>
      <w:r>
        <w:rPr>
          <w:rStyle w:val="Hyperlink"/>
          <w:kern w:val="0"/>
          <w14:ligatures w14:val="none"/>
        </w:rPr>
        <w:fldChar w:fldCharType="end"/>
      </w:r>
      <w:r w:rsidR="00410230">
        <w:rPr>
          <w:kern w:val="0"/>
          <w14:ligatures w14:val="none"/>
        </w:rPr>
        <w:t>)</w:t>
      </w:r>
      <w:r w:rsidR="002C1386">
        <w:rPr>
          <w:kern w:val="0"/>
          <w14:ligatures w14:val="none"/>
        </w:rPr>
        <w:t>.</w:t>
      </w:r>
    </w:p>
    <w:p w14:paraId="13E33065" w14:textId="75AFC6E3" w:rsidR="00FB1B18" w:rsidRDefault="00FB1B18" w:rsidP="00FB1B18">
      <w:pPr>
        <w:rPr>
          <w:kern w:val="0"/>
          <w14:ligatures w14:val="none"/>
        </w:rPr>
      </w:pPr>
      <w:r w:rsidRPr="00FB1B18">
        <w:rPr>
          <w:b/>
          <w:bCs/>
          <w:kern w:val="0"/>
          <w14:ligatures w14:val="none"/>
        </w:rPr>
        <w:lastRenderedPageBreak/>
        <w:t>Community owned</w:t>
      </w:r>
      <w:r w:rsidRPr="00FB1B18">
        <w:rPr>
          <w:kern w:val="0"/>
          <w14:ligatures w14:val="none"/>
        </w:rPr>
        <w:t xml:space="preserve">- </w:t>
      </w:r>
      <w:r w:rsidR="00F65518">
        <w:rPr>
          <w:kern w:val="0"/>
          <w14:ligatures w14:val="none"/>
        </w:rPr>
        <w:t>where</w:t>
      </w:r>
      <w:r w:rsidR="00C44D45" w:rsidRPr="00C44D45">
        <w:rPr>
          <w:kern w:val="0"/>
          <w14:ligatures w14:val="none"/>
        </w:rPr>
        <w:t xml:space="preserve"> local people have control over the buildings and spaces that have significance to them</w:t>
      </w:r>
      <w:r w:rsidR="00F65518">
        <w:rPr>
          <w:kern w:val="0"/>
          <w14:ligatures w14:val="none"/>
        </w:rPr>
        <w:t>, so</w:t>
      </w:r>
      <w:r w:rsidR="00C44D45" w:rsidRPr="00C44D45">
        <w:rPr>
          <w:kern w:val="0"/>
          <w14:ligatures w14:val="none"/>
        </w:rPr>
        <w:t xml:space="preserve"> that these spaces are used in ways that meet the priorities and needs of the local community</w:t>
      </w:r>
      <w:r w:rsidR="00615D0A">
        <w:rPr>
          <w:kern w:val="0"/>
          <w14:ligatures w14:val="none"/>
        </w:rPr>
        <w:t xml:space="preserve"> (</w:t>
      </w:r>
      <w:proofErr w:type="spellStart"/>
      <w:r>
        <w:fldChar w:fldCharType="begin"/>
      </w:r>
      <w:r>
        <w:instrText>HYPERLINK "https://mycommunity.org.uk/community-assets-and-ownership"</w:instrText>
      </w:r>
      <w:r>
        <w:fldChar w:fldCharType="separate"/>
      </w:r>
      <w:r w:rsidR="00615D0A" w:rsidRPr="00615D0A">
        <w:rPr>
          <w:rStyle w:val="Hyperlink"/>
          <w:kern w:val="0"/>
          <w14:ligatures w14:val="none"/>
        </w:rPr>
        <w:t>MyCommunity</w:t>
      </w:r>
      <w:proofErr w:type="spellEnd"/>
      <w:r>
        <w:rPr>
          <w:rStyle w:val="Hyperlink"/>
          <w:kern w:val="0"/>
          <w14:ligatures w14:val="none"/>
        </w:rPr>
        <w:fldChar w:fldCharType="end"/>
      </w:r>
      <w:r w:rsidR="00615D0A">
        <w:rPr>
          <w:kern w:val="0"/>
          <w14:ligatures w14:val="none"/>
        </w:rPr>
        <w:t>)</w:t>
      </w:r>
      <w:r w:rsidR="00C44D45" w:rsidRPr="00C44D45">
        <w:rPr>
          <w:kern w:val="0"/>
          <w14:ligatures w14:val="none"/>
        </w:rPr>
        <w:t>.</w:t>
      </w:r>
    </w:p>
    <w:p w14:paraId="45ECEEEF" w14:textId="2D0E0863" w:rsidR="00C634E2" w:rsidRPr="00CB0521" w:rsidRDefault="00C634E2" w:rsidP="007C77AE">
      <w:pPr>
        <w:rPr>
          <w:b/>
          <w:bCs/>
          <w:kern w:val="0"/>
          <w14:ligatures w14:val="none"/>
        </w:rPr>
      </w:pPr>
      <w:proofErr w:type="spellStart"/>
      <w:r>
        <w:rPr>
          <w:b/>
          <w:bCs/>
          <w:kern w:val="0"/>
          <w14:ligatures w14:val="none"/>
        </w:rPr>
        <w:t>Arnstein’s</w:t>
      </w:r>
      <w:proofErr w:type="spellEnd"/>
      <w:r>
        <w:rPr>
          <w:b/>
          <w:bCs/>
          <w:kern w:val="0"/>
          <w14:ligatures w14:val="none"/>
        </w:rPr>
        <w:t xml:space="preserve"> Ladder - </w:t>
      </w:r>
      <w:proofErr w:type="spellStart"/>
      <w:r w:rsidR="007C77AE" w:rsidRPr="007C77AE">
        <w:rPr>
          <w:kern w:val="0"/>
          <w14:ligatures w14:val="none"/>
        </w:rPr>
        <w:t>Arnstein's</w:t>
      </w:r>
      <w:proofErr w:type="spellEnd"/>
      <w:r w:rsidR="007C77AE" w:rsidRPr="007C77AE">
        <w:rPr>
          <w:kern w:val="0"/>
          <w14:ligatures w14:val="none"/>
        </w:rPr>
        <w:t xml:space="preserve"> ladder, proposed by Sherry </w:t>
      </w:r>
      <w:proofErr w:type="spellStart"/>
      <w:r w:rsidR="007C77AE" w:rsidRPr="007C77AE">
        <w:rPr>
          <w:kern w:val="0"/>
          <w14:ligatures w14:val="none"/>
        </w:rPr>
        <w:t>Arnstein</w:t>
      </w:r>
      <w:proofErr w:type="spellEnd"/>
      <w:r w:rsidR="007C77AE" w:rsidRPr="007C77AE">
        <w:rPr>
          <w:kern w:val="0"/>
          <w14:ligatures w14:val="none"/>
        </w:rPr>
        <w:t xml:space="preserve"> in 1969, is a conceptual framework that describes levels of citizen participation in decision-making processes. It consists of eight rungs, ranging from non-participation to citizen control, illustrating the varying degrees of power and influence that individuals or groups may have in shaping policies or projects. This ladder serves as a tool for </w:t>
      </w:r>
      <w:r w:rsidR="00956055" w:rsidRPr="007C77AE">
        <w:rPr>
          <w:kern w:val="0"/>
          <w14:ligatures w14:val="none"/>
        </w:rPr>
        <w:t>analysing</w:t>
      </w:r>
      <w:r w:rsidR="007C77AE" w:rsidRPr="007C77AE">
        <w:rPr>
          <w:kern w:val="0"/>
          <w14:ligatures w14:val="none"/>
        </w:rPr>
        <w:t xml:space="preserve"> the effectiveness and inclusivity of participatory practices in governance and planning.</w:t>
      </w:r>
    </w:p>
    <w:p w14:paraId="575504D4" w14:textId="5EC2E455" w:rsidR="00D8256A" w:rsidRPr="00DD203D" w:rsidRDefault="000375B2" w:rsidP="00DD203D">
      <w:pPr>
        <w:rPr>
          <w:i/>
          <w:iCs/>
        </w:rPr>
      </w:pPr>
      <w:r w:rsidRPr="00DD203D">
        <w:rPr>
          <w:i/>
          <w:iCs/>
        </w:rPr>
        <w:t xml:space="preserve"> </w:t>
      </w:r>
    </w:p>
    <w:tbl>
      <w:tblPr>
        <w:tblStyle w:val="TableGrid"/>
        <w:tblW w:w="0" w:type="auto"/>
        <w:tblLook w:val="04A0" w:firstRow="1" w:lastRow="0" w:firstColumn="1" w:lastColumn="0" w:noHBand="0" w:noVBand="1"/>
      </w:tblPr>
      <w:tblGrid>
        <w:gridCol w:w="3824"/>
        <w:gridCol w:w="3841"/>
        <w:gridCol w:w="3808"/>
        <w:gridCol w:w="3915"/>
      </w:tblGrid>
      <w:tr w:rsidR="007F3667" w14:paraId="3CCF75B7" w14:textId="0D0A390C" w:rsidTr="004C018B">
        <w:tc>
          <w:tcPr>
            <w:tcW w:w="3824" w:type="dxa"/>
          </w:tcPr>
          <w:p w14:paraId="0B8E1FE1" w14:textId="423B9BFE" w:rsidR="007F3667" w:rsidRDefault="00000000" w:rsidP="00B36D9D">
            <w:pPr>
              <w:rPr>
                <w:i/>
                <w:iCs/>
              </w:rPr>
            </w:pPr>
            <w:hyperlink r:id="rId13" w:history="1">
              <w:r w:rsidR="007F3667" w:rsidRPr="00745755">
                <w:rPr>
                  <w:rStyle w:val="Hyperlink"/>
                  <w:i/>
                  <w:iCs/>
                </w:rPr>
                <w:t>Zero Carbon Rugeley (pure co-design)</w:t>
              </w:r>
            </w:hyperlink>
          </w:p>
        </w:tc>
        <w:tc>
          <w:tcPr>
            <w:tcW w:w="3841" w:type="dxa"/>
          </w:tcPr>
          <w:p w14:paraId="6669ADC3" w14:textId="72CD0E30" w:rsidR="007F3667" w:rsidRDefault="007F3667" w:rsidP="00B36D9D">
            <w:pPr>
              <w:rPr>
                <w:i/>
                <w:iCs/>
              </w:rPr>
            </w:pPr>
            <w:r>
              <w:rPr>
                <w:i/>
                <w:iCs/>
              </w:rPr>
              <w:t>Community BEES (co-design leading to delivery of interventions)</w:t>
            </w:r>
          </w:p>
        </w:tc>
        <w:tc>
          <w:tcPr>
            <w:tcW w:w="3808" w:type="dxa"/>
          </w:tcPr>
          <w:p w14:paraId="378308FD" w14:textId="24FD160F" w:rsidR="007F3667" w:rsidRDefault="007F3667" w:rsidP="75C22218">
            <w:pPr>
              <w:rPr>
                <w:i/>
                <w:iCs/>
              </w:rPr>
            </w:pPr>
            <w:r w:rsidRPr="75C22218">
              <w:rPr>
                <w:i/>
                <w:iCs/>
              </w:rPr>
              <w:t>Link Road (co-design leading to delivery of interventions)</w:t>
            </w:r>
          </w:p>
        </w:tc>
        <w:tc>
          <w:tcPr>
            <w:tcW w:w="3915" w:type="dxa"/>
          </w:tcPr>
          <w:p w14:paraId="30E6D103" w14:textId="0C15A13E" w:rsidR="008D0D99" w:rsidRPr="75C22218" w:rsidRDefault="002146A5" w:rsidP="75C22218">
            <w:pPr>
              <w:rPr>
                <w:i/>
                <w:iCs/>
              </w:rPr>
            </w:pPr>
            <w:r>
              <w:rPr>
                <w:i/>
                <w:iCs/>
              </w:rPr>
              <w:t>Retrofit Balsall Heath</w:t>
            </w:r>
            <w:r w:rsidR="009708CE">
              <w:rPr>
                <w:i/>
                <w:iCs/>
              </w:rPr>
              <w:t xml:space="preserve"> </w:t>
            </w:r>
            <w:r w:rsidR="00107079">
              <w:rPr>
                <w:i/>
                <w:iCs/>
              </w:rPr>
              <w:t>(co-design leading to delivery of interventions)</w:t>
            </w:r>
          </w:p>
        </w:tc>
      </w:tr>
      <w:tr w:rsidR="007F3667" w14:paraId="04F5BD0A" w14:textId="073276F9" w:rsidTr="004C018B">
        <w:tc>
          <w:tcPr>
            <w:tcW w:w="3824" w:type="dxa"/>
          </w:tcPr>
          <w:p w14:paraId="35548947" w14:textId="3017327C" w:rsidR="007F3667" w:rsidRPr="007F5A70" w:rsidRDefault="007F3667" w:rsidP="00B36D9D">
            <w:pPr>
              <w:rPr>
                <w:b/>
                <w:bCs/>
                <w:i/>
                <w:iCs/>
              </w:rPr>
            </w:pPr>
            <w:r w:rsidRPr="007F5A70">
              <w:rPr>
                <w:b/>
                <w:bCs/>
                <w:i/>
                <w:iCs/>
              </w:rPr>
              <w:t>Picture &amp; project partners</w:t>
            </w:r>
          </w:p>
          <w:p w14:paraId="6C6D0D4B" w14:textId="77777777" w:rsidR="007F3667" w:rsidRDefault="007F3667" w:rsidP="00B36D9D">
            <w:pPr>
              <w:rPr>
                <w:i/>
                <w:iCs/>
              </w:rPr>
            </w:pPr>
          </w:p>
          <w:p w14:paraId="412C50F1" w14:textId="707C0921" w:rsidR="007F3667" w:rsidRDefault="007F3667" w:rsidP="00B36D9D">
            <w:pPr>
              <w:rPr>
                <w:i/>
                <w:iCs/>
              </w:rPr>
            </w:pPr>
            <w:r>
              <w:rPr>
                <w:noProof/>
              </w:rPr>
              <w:drawing>
                <wp:inline distT="0" distB="0" distL="0" distR="0" wp14:anchorId="2D7FF2D8" wp14:editId="56AAC608">
                  <wp:extent cx="2139950" cy="2139950"/>
                  <wp:effectExtent l="0" t="0" r="0" b="0"/>
                  <wp:docPr id="1" name="Picture 1" descr="Engage Zero Carbon Ruge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age Zero Carbon Rugel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556F67B0" w14:textId="63381D53" w:rsidR="007F3667" w:rsidRDefault="007F3667" w:rsidP="00B36D9D">
            <w:r>
              <w:t>Lead partner:  EQUANS</w:t>
            </w:r>
          </w:p>
          <w:p w14:paraId="2F76007E" w14:textId="47AD110A" w:rsidR="007F3667" w:rsidRDefault="007F3667" w:rsidP="00B36D9D">
            <w:r>
              <w:t>Community engagement partner: Keele University</w:t>
            </w:r>
          </w:p>
          <w:p w14:paraId="4EEE55C3" w14:textId="77777777" w:rsidR="007F3667" w:rsidRDefault="007F3667" w:rsidP="00B36D9D">
            <w:pPr>
              <w:rPr>
                <w:i/>
                <w:iCs/>
              </w:rPr>
            </w:pPr>
          </w:p>
          <w:p w14:paraId="5AF93DC4" w14:textId="219FC3D1" w:rsidR="00861073" w:rsidRDefault="00861073" w:rsidP="00B36D9D">
            <w:pPr>
              <w:rPr>
                <w:b/>
                <w:i/>
              </w:rPr>
            </w:pPr>
            <w:r>
              <w:rPr>
                <w:b/>
                <w:i/>
              </w:rPr>
              <w:t>Objective</w:t>
            </w:r>
          </w:p>
          <w:p w14:paraId="31E5B543" w14:textId="77777777" w:rsidR="00861073" w:rsidRDefault="00861073" w:rsidP="00B36D9D">
            <w:pPr>
              <w:rPr>
                <w:b/>
                <w:i/>
              </w:rPr>
            </w:pPr>
          </w:p>
          <w:p w14:paraId="27A65215" w14:textId="507525D6" w:rsidR="00790B1C" w:rsidRPr="00DD203D" w:rsidRDefault="008D613D" w:rsidP="00B36D9D">
            <w:pPr>
              <w:rPr>
                <w:bCs/>
                <w:iCs/>
              </w:rPr>
            </w:pPr>
            <w:r>
              <w:rPr>
                <w:bCs/>
                <w:iCs/>
              </w:rPr>
              <w:t xml:space="preserve">Co-designing a Net Zero plan for the Rugeley area, </w:t>
            </w:r>
            <w:r w:rsidR="001228AC">
              <w:rPr>
                <w:bCs/>
                <w:iCs/>
              </w:rPr>
              <w:t xml:space="preserve">including democratisation of </w:t>
            </w:r>
            <w:r w:rsidR="00095F67">
              <w:rPr>
                <w:bCs/>
                <w:iCs/>
              </w:rPr>
              <w:t xml:space="preserve">decision making </w:t>
            </w:r>
            <w:r w:rsidR="00095F67">
              <w:rPr>
                <w:bCs/>
                <w:iCs/>
              </w:rPr>
              <w:lastRenderedPageBreak/>
              <w:t>through a hyper-local governance system.</w:t>
            </w:r>
          </w:p>
          <w:p w14:paraId="119202DB" w14:textId="77777777" w:rsidR="00861073" w:rsidRDefault="00861073" w:rsidP="00B36D9D">
            <w:pPr>
              <w:rPr>
                <w:b/>
                <w:i/>
              </w:rPr>
            </w:pPr>
          </w:p>
          <w:p w14:paraId="14AC0178" w14:textId="4EACEC7C" w:rsidR="007F3667" w:rsidRPr="007F3667" w:rsidRDefault="007F3667" w:rsidP="00B36D9D">
            <w:pPr>
              <w:rPr>
                <w:b/>
                <w:i/>
              </w:rPr>
            </w:pPr>
            <w:r w:rsidRPr="007F3667">
              <w:rPr>
                <w:b/>
                <w:i/>
              </w:rPr>
              <w:t>Approach to engagement</w:t>
            </w:r>
          </w:p>
          <w:p w14:paraId="0A6751CF" w14:textId="77777777" w:rsidR="007F3667" w:rsidRPr="00F279A9" w:rsidRDefault="007F3667" w:rsidP="00B36D9D">
            <w:pPr>
              <w:rPr>
                <w:b/>
                <w:i/>
                <w:highlight w:val="yellow"/>
              </w:rPr>
            </w:pPr>
          </w:p>
          <w:p w14:paraId="404BFACE" w14:textId="4F7710B6" w:rsidR="007F3667" w:rsidRDefault="007F3667" w:rsidP="001F214B">
            <w:r w:rsidRPr="00A24571">
              <w:t>Over the three-year duration of the project the activity was iterative, with learning from the community and reflection on the process leading to refinement in the approach. The overarching structure of the approach comprised three (often overlapping) phases:</w:t>
            </w:r>
          </w:p>
          <w:p w14:paraId="6008EACB" w14:textId="77777777" w:rsidR="007F3667" w:rsidRPr="00A24571" w:rsidRDefault="007F3667" w:rsidP="001F214B"/>
          <w:p w14:paraId="695C06B7" w14:textId="17A8A710" w:rsidR="007F3667" w:rsidRPr="007F3667" w:rsidRDefault="007F3667" w:rsidP="001F214B">
            <w:r w:rsidRPr="007F3667">
              <w:t xml:space="preserve">1) Exploratory: In this phase activities were designed to develop a broad understanding </w:t>
            </w:r>
            <w:proofErr w:type="gramStart"/>
            <w:r w:rsidRPr="007F3667">
              <w:t>of:</w:t>
            </w:r>
            <w:proofErr w:type="gramEnd"/>
            <w:r w:rsidRPr="007F3667">
              <w:t xml:space="preserve"> the community; the local context and perceptions of the local area and its challenges both generally and in relation to different energy vectors and services; opportunities and areas of pride or concern; and the community’s willingness to engage in the community-centric design process. This phase also provided understanding of the community’s perceptions of the project, its </w:t>
            </w:r>
            <w:proofErr w:type="gramStart"/>
            <w:r w:rsidRPr="007F3667">
              <w:t>aims</w:t>
            </w:r>
            <w:proofErr w:type="gramEnd"/>
            <w:r w:rsidRPr="007F3667">
              <w:t xml:space="preserve"> and the concept of a smart local energy system.</w:t>
            </w:r>
          </w:p>
          <w:p w14:paraId="5CCF3EC0" w14:textId="77777777" w:rsidR="007F3667" w:rsidRPr="007F3667" w:rsidRDefault="007F3667" w:rsidP="001F214B"/>
          <w:p w14:paraId="728BBC6B" w14:textId="0CF816ED" w:rsidR="007F3667" w:rsidRPr="007F3667" w:rsidRDefault="007F3667" w:rsidP="001F214B">
            <w:r w:rsidRPr="007F3667">
              <w:t xml:space="preserve">2) Specific: This phase focused of activities exploring specific elements of the SLES with the local community, in terms of acceptance of technologies and different business models, the willingness to </w:t>
            </w:r>
            <w:r w:rsidRPr="007F3667">
              <w:lastRenderedPageBreak/>
              <w:t>adopt different technologies, levels of understanding of the proposed solutions, and envisioned implications of embedding these technologies within the community. Activities in this phase ranged from workshops for in-depth exploration of issues with engaged community members, to short, ‘drop-in’ engagements through ‘pop-up’ events. Project consortium members were encouraged to consider how community input might be useful to refining the specific design components.</w:t>
            </w:r>
          </w:p>
          <w:p w14:paraId="51FCA807" w14:textId="77777777" w:rsidR="007F3667" w:rsidRPr="007F3667" w:rsidRDefault="007F3667" w:rsidP="001F214B"/>
          <w:p w14:paraId="5B212E8A" w14:textId="434E8C8C" w:rsidR="007F3667" w:rsidRPr="007F3667" w:rsidRDefault="007F3667" w:rsidP="001F214B">
            <w:r w:rsidRPr="007F3667">
              <w:t>3) Legacy: This phase reflects activities and resourcing of the community to support a legacy of activity for the community to be able to continue work supporting place-based decarbonisation beyond the funded scope of the project.</w:t>
            </w:r>
          </w:p>
          <w:p w14:paraId="16A0855A" w14:textId="77777777" w:rsidR="007F3667" w:rsidRPr="007F3667" w:rsidRDefault="007F3667" w:rsidP="00B36D9D">
            <w:pPr>
              <w:rPr>
                <w:b/>
                <w:i/>
              </w:rPr>
            </w:pPr>
          </w:p>
          <w:p w14:paraId="16622F71" w14:textId="77777777" w:rsidR="007F3667" w:rsidRPr="007F3667" w:rsidRDefault="007F3667" w:rsidP="00B36D9D">
            <w:pPr>
              <w:rPr>
                <w:b/>
                <w:i/>
              </w:rPr>
            </w:pPr>
            <w:r w:rsidRPr="007F3667">
              <w:rPr>
                <w:b/>
                <w:i/>
              </w:rPr>
              <w:t>How NZN guidelines were applied</w:t>
            </w:r>
          </w:p>
          <w:p w14:paraId="7BC64D32" w14:textId="77777777" w:rsidR="007F3667" w:rsidRPr="007F3667" w:rsidRDefault="007F3667" w:rsidP="00B36D9D">
            <w:pPr>
              <w:rPr>
                <w:b/>
                <w:i/>
              </w:rPr>
            </w:pPr>
          </w:p>
          <w:p w14:paraId="770EFAC5" w14:textId="52FDEE58" w:rsidR="007F3667" w:rsidRPr="007F3667" w:rsidRDefault="007F3667" w:rsidP="00B36D9D">
            <w:r w:rsidRPr="007F3667">
              <w:t xml:space="preserve">This is the </w:t>
            </w:r>
            <w:proofErr w:type="gramStart"/>
            <w:r w:rsidRPr="007F3667">
              <w:t>gold-standard</w:t>
            </w:r>
            <w:proofErr w:type="gramEnd"/>
            <w:r w:rsidRPr="007F3667">
              <w:t>.  Some pieces of the NZN guidance do not carry over, as this work was purely theoretical, with no interventions being delivered.</w:t>
            </w:r>
          </w:p>
          <w:p w14:paraId="57925F0A" w14:textId="77777777" w:rsidR="007F3667" w:rsidRPr="007F3667" w:rsidRDefault="007F3667" w:rsidP="00B36D9D">
            <w:pPr>
              <w:rPr>
                <w:b/>
                <w:i/>
              </w:rPr>
            </w:pPr>
          </w:p>
          <w:p w14:paraId="2A6332C4" w14:textId="27AA8665" w:rsidR="007F3667" w:rsidRPr="007F3667" w:rsidRDefault="007F3667" w:rsidP="00B36D9D">
            <w:pPr>
              <w:rPr>
                <w:b/>
                <w:i/>
              </w:rPr>
            </w:pPr>
            <w:r w:rsidRPr="007F3667">
              <w:rPr>
                <w:b/>
                <w:i/>
              </w:rPr>
              <w:t>Outcomes</w:t>
            </w:r>
            <w:r w:rsidR="00FE0925">
              <w:rPr>
                <w:b/>
                <w:i/>
              </w:rPr>
              <w:t xml:space="preserve">, findings and lessons </w:t>
            </w:r>
            <w:proofErr w:type="gramStart"/>
            <w:r w:rsidR="00FE0925">
              <w:rPr>
                <w:b/>
                <w:i/>
              </w:rPr>
              <w:t>learnt</w:t>
            </w:r>
            <w:proofErr w:type="gramEnd"/>
          </w:p>
          <w:p w14:paraId="0FD28CBB" w14:textId="77777777" w:rsidR="007F3667" w:rsidRPr="007F3667" w:rsidRDefault="007F3667" w:rsidP="00B36D9D">
            <w:pPr>
              <w:rPr>
                <w:i/>
              </w:rPr>
            </w:pPr>
          </w:p>
          <w:p w14:paraId="39EFB635" w14:textId="45F4A135" w:rsidR="007F3667" w:rsidRPr="007F3667" w:rsidRDefault="007F3667" w:rsidP="005421B6">
            <w:pPr>
              <w:pStyle w:val="ListParagraph"/>
              <w:numPr>
                <w:ilvl w:val="0"/>
                <w:numId w:val="12"/>
              </w:numPr>
            </w:pPr>
            <w:r w:rsidRPr="007F3667">
              <w:t>Ensure dedicated, significant resource for a community-</w:t>
            </w:r>
            <w:r w:rsidRPr="007F3667">
              <w:lastRenderedPageBreak/>
              <w:t>centric design team throughout the duration of the project from a partner organisation trusted by the community.</w:t>
            </w:r>
          </w:p>
          <w:p w14:paraId="42F4D74E" w14:textId="7EFD81C5" w:rsidR="007F3667" w:rsidRPr="007F3667" w:rsidRDefault="007F3667" w:rsidP="005421B6">
            <w:pPr>
              <w:pStyle w:val="ListParagraph"/>
              <w:numPr>
                <w:ilvl w:val="0"/>
                <w:numId w:val="12"/>
              </w:numPr>
            </w:pPr>
            <w:r w:rsidRPr="007F3667">
              <w:t>Ensure the principle of community-centric design is embedded in project design and governance from the start.</w:t>
            </w:r>
          </w:p>
          <w:p w14:paraId="387BE231" w14:textId="34C5A6C2" w:rsidR="007F3667" w:rsidRPr="007F3667" w:rsidRDefault="007F3667" w:rsidP="005421B6">
            <w:pPr>
              <w:pStyle w:val="ListParagraph"/>
              <w:numPr>
                <w:ilvl w:val="0"/>
                <w:numId w:val="12"/>
              </w:numPr>
            </w:pPr>
            <w:r w:rsidRPr="007F3667">
              <w:t>Develop trusted relationships and communication channels with key community stakeholders who can act on community insights.</w:t>
            </w:r>
          </w:p>
          <w:p w14:paraId="66F96885" w14:textId="57E276C2" w:rsidR="007F3667" w:rsidRPr="007F3667" w:rsidRDefault="007F3667" w:rsidP="005421B6">
            <w:pPr>
              <w:pStyle w:val="ListParagraph"/>
              <w:numPr>
                <w:ilvl w:val="0"/>
                <w:numId w:val="12"/>
              </w:numPr>
            </w:pPr>
            <w:r w:rsidRPr="007F3667">
              <w:t>Provide opportunities for the technical teams to engage directly with the community.</w:t>
            </w:r>
          </w:p>
          <w:p w14:paraId="707BBDBF" w14:textId="019A2BD2" w:rsidR="007F3667" w:rsidRPr="007F3667" w:rsidRDefault="007F3667" w:rsidP="005421B6">
            <w:pPr>
              <w:pStyle w:val="ListParagraph"/>
              <w:numPr>
                <w:ilvl w:val="0"/>
                <w:numId w:val="12"/>
              </w:numPr>
            </w:pPr>
            <w:r w:rsidRPr="007F3667">
              <w:t>Identify community gatekeepers and maintain relationships throughout, identifying win-wins where possible.</w:t>
            </w:r>
          </w:p>
          <w:p w14:paraId="2FB92605" w14:textId="658BC335" w:rsidR="007F3667" w:rsidRPr="007F3667" w:rsidRDefault="007F3667" w:rsidP="005421B6">
            <w:pPr>
              <w:pStyle w:val="ListParagraph"/>
              <w:numPr>
                <w:ilvl w:val="0"/>
                <w:numId w:val="12"/>
              </w:numPr>
            </w:pPr>
            <w:r w:rsidRPr="007F3667">
              <w:t>Prioritise your audience and try to include small, local businesses.</w:t>
            </w:r>
          </w:p>
          <w:p w14:paraId="50FB61E3" w14:textId="5E268A9B" w:rsidR="007F3667" w:rsidRPr="007F3667" w:rsidRDefault="007F3667" w:rsidP="005421B6">
            <w:pPr>
              <w:pStyle w:val="ListParagraph"/>
              <w:numPr>
                <w:ilvl w:val="0"/>
                <w:numId w:val="12"/>
              </w:numPr>
            </w:pPr>
            <w:r w:rsidRPr="007F3667">
              <w:t>Develop a network of community ambassadors – and support them to achieve their own community goals.</w:t>
            </w:r>
          </w:p>
          <w:p w14:paraId="3DD94CB9" w14:textId="07EC3706" w:rsidR="007F3667" w:rsidRPr="007F3667" w:rsidRDefault="007F3667" w:rsidP="005421B6">
            <w:pPr>
              <w:pStyle w:val="ListParagraph"/>
              <w:numPr>
                <w:ilvl w:val="0"/>
                <w:numId w:val="12"/>
              </w:numPr>
            </w:pPr>
            <w:r w:rsidRPr="007F3667">
              <w:t>Use a range of approaches for engagement – online, in-person, deep and shallow and of different time intensity.</w:t>
            </w:r>
          </w:p>
          <w:p w14:paraId="48C2D0D0" w14:textId="383DC9EA" w:rsidR="007F3667" w:rsidRPr="007F3667" w:rsidRDefault="007F3667" w:rsidP="005421B6">
            <w:pPr>
              <w:pStyle w:val="ListParagraph"/>
              <w:numPr>
                <w:ilvl w:val="0"/>
                <w:numId w:val="12"/>
              </w:numPr>
            </w:pPr>
            <w:r w:rsidRPr="007F3667">
              <w:t>Use social media for two-way interaction.</w:t>
            </w:r>
          </w:p>
          <w:p w14:paraId="011A4AA3" w14:textId="115B952E" w:rsidR="007F3667" w:rsidRPr="005B2FEC" w:rsidRDefault="007F3667" w:rsidP="00B36D9D">
            <w:pPr>
              <w:pStyle w:val="ListParagraph"/>
              <w:numPr>
                <w:ilvl w:val="0"/>
                <w:numId w:val="12"/>
              </w:numPr>
            </w:pPr>
            <w:r w:rsidRPr="007F3667">
              <w:lastRenderedPageBreak/>
              <w:t>Consider and build project legacy from the start.</w:t>
            </w:r>
          </w:p>
        </w:tc>
        <w:tc>
          <w:tcPr>
            <w:tcW w:w="3841" w:type="dxa"/>
          </w:tcPr>
          <w:p w14:paraId="58F748F5" w14:textId="77777777" w:rsidR="007F3667" w:rsidRPr="007F5A70" w:rsidRDefault="007F3667" w:rsidP="000A5C15">
            <w:pPr>
              <w:rPr>
                <w:b/>
                <w:bCs/>
                <w:i/>
                <w:iCs/>
              </w:rPr>
            </w:pPr>
            <w:r w:rsidRPr="007F5A70">
              <w:rPr>
                <w:b/>
                <w:bCs/>
                <w:i/>
                <w:iCs/>
              </w:rPr>
              <w:lastRenderedPageBreak/>
              <w:t>Picture &amp; project partners</w:t>
            </w:r>
          </w:p>
          <w:p w14:paraId="40531598" w14:textId="2AF6391D" w:rsidR="007F3667" w:rsidRDefault="00E3396C" w:rsidP="000A5C15">
            <w:r>
              <w:rPr>
                <w:noProof/>
              </w:rPr>
              <w:drawing>
                <wp:inline distT="0" distB="0" distL="0" distR="0" wp14:anchorId="42F9DFCE" wp14:editId="17D1B983">
                  <wp:extent cx="2257425" cy="2257425"/>
                  <wp:effectExtent l="0" t="0" r="9525" b="9525"/>
                  <wp:docPr id="2" name="Picture 2" descr="A logo with a bee and a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ee and a foo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7430" cy="2257430"/>
                          </a:xfrm>
                          <a:prstGeom prst="rect">
                            <a:avLst/>
                          </a:prstGeom>
                        </pic:spPr>
                      </pic:pic>
                    </a:graphicData>
                  </a:graphic>
                </wp:inline>
              </w:drawing>
            </w:r>
          </w:p>
          <w:p w14:paraId="07606758" w14:textId="4944D12A" w:rsidR="00CE3777" w:rsidRDefault="00E3396C" w:rsidP="000A5C15">
            <w:r>
              <w:t>Lead partner: Dudley MBC</w:t>
            </w:r>
          </w:p>
          <w:p w14:paraId="0B8AA9C2" w14:textId="6C1C6168" w:rsidR="00E3396C" w:rsidRDefault="00E3396C" w:rsidP="000A5C15">
            <w:r>
              <w:t>Community engagement partner: Keele University</w:t>
            </w:r>
          </w:p>
          <w:p w14:paraId="1DC4BCA1" w14:textId="77777777" w:rsidR="00CE3777" w:rsidRDefault="00CE3777" w:rsidP="000A5C15"/>
          <w:p w14:paraId="466EB61F" w14:textId="77777777" w:rsidR="007F3667" w:rsidRPr="007F5A70" w:rsidRDefault="007F3667" w:rsidP="000A5C15">
            <w:pPr>
              <w:rPr>
                <w:b/>
                <w:bCs/>
                <w:i/>
                <w:iCs/>
              </w:rPr>
            </w:pPr>
            <w:r w:rsidRPr="007F5A70">
              <w:rPr>
                <w:b/>
                <w:bCs/>
                <w:i/>
                <w:iCs/>
              </w:rPr>
              <w:t>Objective</w:t>
            </w:r>
          </w:p>
          <w:p w14:paraId="1AAC60A1" w14:textId="77777777" w:rsidR="007F3667" w:rsidRDefault="007F3667" w:rsidP="000A5C15"/>
          <w:p w14:paraId="5BC98D66" w14:textId="36332D07" w:rsidR="007F3667" w:rsidRDefault="007F3667" w:rsidP="000A5C15">
            <w:r>
              <w:t xml:space="preserve">To test the hypothesis that a retrofit programme built on a foundation of community engagement, supported with active travel and green </w:t>
            </w:r>
            <w:r>
              <w:lastRenderedPageBreak/>
              <w:t>infrastructure interventions achieves higher sign-up rates, and lower dropout rates.</w:t>
            </w:r>
          </w:p>
          <w:p w14:paraId="3444CC63" w14:textId="77777777" w:rsidR="007F3667" w:rsidRDefault="007F3667" w:rsidP="000A5C15"/>
          <w:p w14:paraId="63B9793C" w14:textId="77777777" w:rsidR="007F3667" w:rsidRDefault="007F3667" w:rsidP="000A5C15">
            <w:pPr>
              <w:rPr>
                <w:b/>
                <w:bCs/>
                <w:i/>
                <w:iCs/>
              </w:rPr>
            </w:pPr>
            <w:r w:rsidRPr="007F5A70">
              <w:rPr>
                <w:b/>
                <w:bCs/>
                <w:i/>
                <w:iCs/>
              </w:rPr>
              <w:t>Approach to engagement</w:t>
            </w:r>
          </w:p>
          <w:p w14:paraId="758667A0" w14:textId="77777777" w:rsidR="007F3667" w:rsidRDefault="007F3667" w:rsidP="000A5C15">
            <w:pPr>
              <w:rPr>
                <w:b/>
                <w:bCs/>
                <w:i/>
                <w:iCs/>
              </w:rPr>
            </w:pPr>
          </w:p>
          <w:p w14:paraId="4A1448DB" w14:textId="2893E1E5" w:rsidR="007F3667" w:rsidRDefault="007F3667" w:rsidP="000A5C15">
            <w:r>
              <w:t xml:space="preserve">The engagement approach in </w:t>
            </w:r>
            <w:proofErr w:type="spellStart"/>
            <w:r>
              <w:t>Brockmoor</w:t>
            </w:r>
            <w:proofErr w:type="spellEnd"/>
            <w:r>
              <w:t xml:space="preserve"> has been adapted from that deployed for ZCR.  </w:t>
            </w:r>
          </w:p>
          <w:p w14:paraId="277E01BC" w14:textId="77777777" w:rsidR="007F3667" w:rsidRDefault="007F3667" w:rsidP="000A5C15"/>
          <w:p w14:paraId="5718EC6E" w14:textId="76F77962" w:rsidR="007F3667" w:rsidRPr="0075647E" w:rsidRDefault="007F3667" w:rsidP="000A5C15">
            <w:r>
              <w:t xml:space="preserve">Keele University have developed a community engagement plan and are the responsible party for delivery, acting to coordinate activities between all project partners and the </w:t>
            </w:r>
            <w:proofErr w:type="spellStart"/>
            <w:r>
              <w:t>Brockmoor</w:t>
            </w:r>
            <w:proofErr w:type="spellEnd"/>
            <w:r>
              <w:t xml:space="preserve"> community.</w:t>
            </w:r>
          </w:p>
          <w:p w14:paraId="6F1BA192" w14:textId="77777777" w:rsidR="007F3667" w:rsidRDefault="007F3667" w:rsidP="000A5C15"/>
          <w:p w14:paraId="555690DA" w14:textId="61049E92" w:rsidR="002D6D9C" w:rsidRDefault="002D6D9C" w:rsidP="000A5C15">
            <w:r>
              <w:t xml:space="preserve">Early stages of the engagement have </w:t>
            </w:r>
            <w:r w:rsidR="00B060CC">
              <w:t xml:space="preserve">focused on understanding the Neighbourhoods attitudes and understanding of Net Zero, as well as </w:t>
            </w:r>
            <w:r w:rsidR="007E2A67">
              <w:t xml:space="preserve">identifying key </w:t>
            </w:r>
            <w:r w:rsidR="00D22A5F">
              <w:t xml:space="preserve">anchor issues in the community.  This has helped </w:t>
            </w:r>
            <w:r w:rsidR="00E1158E">
              <w:t>frame the engagement materials, focusing on issues that resonate with residents.</w:t>
            </w:r>
          </w:p>
          <w:p w14:paraId="196B001A" w14:textId="77777777" w:rsidR="002D6D9C" w:rsidRDefault="002D6D9C" w:rsidP="000A5C15"/>
          <w:p w14:paraId="55F6BA0D" w14:textId="77777777" w:rsidR="007F3667" w:rsidRPr="007F5A70" w:rsidRDefault="007F3667" w:rsidP="007F60CE">
            <w:pPr>
              <w:rPr>
                <w:b/>
                <w:bCs/>
                <w:i/>
                <w:iCs/>
              </w:rPr>
            </w:pPr>
            <w:r w:rsidRPr="007F5A70">
              <w:rPr>
                <w:b/>
                <w:bCs/>
                <w:i/>
                <w:iCs/>
              </w:rPr>
              <w:t>How NZN guidelines were applied</w:t>
            </w:r>
          </w:p>
          <w:p w14:paraId="6D61E968" w14:textId="77777777" w:rsidR="007F3667" w:rsidRDefault="007F3667" w:rsidP="000A5C15">
            <w:pPr>
              <w:rPr>
                <w:b/>
                <w:bCs/>
              </w:rPr>
            </w:pPr>
          </w:p>
          <w:p w14:paraId="221C92C0" w14:textId="716274F5" w:rsidR="007F3667" w:rsidRDefault="00FC713A" w:rsidP="000A5C15">
            <w:r>
              <w:t>Many good examples including:</w:t>
            </w:r>
          </w:p>
          <w:p w14:paraId="243E6889" w14:textId="53F60960" w:rsidR="009115CF" w:rsidRDefault="00ED2D09" w:rsidP="00ED2D09">
            <w:pPr>
              <w:pStyle w:val="ListParagraph"/>
              <w:numPr>
                <w:ilvl w:val="0"/>
                <w:numId w:val="13"/>
              </w:numPr>
            </w:pPr>
            <w:r>
              <w:t xml:space="preserve">Thorough </w:t>
            </w:r>
            <w:r w:rsidR="004D3F60">
              <w:t>analysis</w:t>
            </w:r>
            <w:r w:rsidR="00DC246F">
              <w:t xml:space="preserve"> of engagement activities undertaken in the neighbourhood to date</w:t>
            </w:r>
            <w:r w:rsidR="004D3F60">
              <w:t xml:space="preserve"> conducted while developing the engagement plan</w:t>
            </w:r>
            <w:r w:rsidR="00036659">
              <w:t>.</w:t>
            </w:r>
          </w:p>
          <w:p w14:paraId="04952F9A" w14:textId="3265F4F2" w:rsidR="00DC246F" w:rsidRDefault="003313E9" w:rsidP="00ED2D09">
            <w:pPr>
              <w:pStyle w:val="ListParagraph"/>
              <w:numPr>
                <w:ilvl w:val="0"/>
                <w:numId w:val="13"/>
              </w:numPr>
            </w:pPr>
            <w:r>
              <w:lastRenderedPageBreak/>
              <w:t xml:space="preserve">Identification and </w:t>
            </w:r>
            <w:r w:rsidR="00DF229E">
              <w:t>engagement with key</w:t>
            </w:r>
            <w:r w:rsidR="00DC246F">
              <w:t xml:space="preserve"> </w:t>
            </w:r>
            <w:r>
              <w:t xml:space="preserve">community pillars, </w:t>
            </w:r>
            <w:proofErr w:type="spellStart"/>
            <w:r>
              <w:t>Brockmoor</w:t>
            </w:r>
            <w:proofErr w:type="spellEnd"/>
            <w:r>
              <w:t xml:space="preserve"> Primary </w:t>
            </w:r>
            <w:proofErr w:type="gramStart"/>
            <w:r>
              <w:t>School</w:t>
            </w:r>
            <w:proofErr w:type="gramEnd"/>
            <w:r>
              <w:t xml:space="preserve"> and Friends of </w:t>
            </w:r>
            <w:proofErr w:type="spellStart"/>
            <w:r>
              <w:t>Brockmoor</w:t>
            </w:r>
            <w:proofErr w:type="spellEnd"/>
            <w:r>
              <w:t xml:space="preserve"> Park</w:t>
            </w:r>
            <w:r w:rsidR="002E31A5">
              <w:t>.</w:t>
            </w:r>
          </w:p>
          <w:p w14:paraId="22D2E80F" w14:textId="7A65E743" w:rsidR="002E31A5" w:rsidRDefault="002E31A5" w:rsidP="002E31A5">
            <w:pPr>
              <w:pStyle w:val="ListParagraph"/>
              <w:numPr>
                <w:ilvl w:val="0"/>
                <w:numId w:val="13"/>
              </w:numPr>
            </w:pPr>
            <w:r>
              <w:t>Accessible engagement events, being present during evenings and weekends, at easily accessible venues.</w:t>
            </w:r>
          </w:p>
          <w:p w14:paraId="2F4311DC" w14:textId="397C3886" w:rsidR="00036659" w:rsidRDefault="00FE678A" w:rsidP="000C7124">
            <w:pPr>
              <w:pStyle w:val="ListParagraph"/>
              <w:numPr>
                <w:ilvl w:val="0"/>
                <w:numId w:val="13"/>
              </w:numPr>
            </w:pPr>
            <w:r>
              <w:t>Project</w:t>
            </w:r>
            <w:r w:rsidR="00CF5714">
              <w:t xml:space="preserve"> governance </w:t>
            </w:r>
            <w:r w:rsidR="000C7124">
              <w:t xml:space="preserve">processes established to </w:t>
            </w:r>
            <w:r w:rsidR="00CF5714">
              <w:t xml:space="preserve">ensure </w:t>
            </w:r>
            <w:r w:rsidR="00035CD4">
              <w:t xml:space="preserve">oversight of </w:t>
            </w:r>
            <w:r w:rsidR="000C7124">
              <w:t>engagement work</w:t>
            </w:r>
            <w:r w:rsidR="009F0799">
              <w:t>.</w:t>
            </w:r>
          </w:p>
          <w:p w14:paraId="76DE49EB" w14:textId="3D946F98" w:rsidR="009F0799" w:rsidRDefault="009F0799" w:rsidP="000C7124">
            <w:pPr>
              <w:pStyle w:val="ListParagraph"/>
              <w:numPr>
                <w:ilvl w:val="0"/>
                <w:numId w:val="13"/>
              </w:numPr>
            </w:pPr>
            <w:r>
              <w:t>Learnings from engagement events have been actioned to improve accessibility and increase uptake.</w:t>
            </w:r>
          </w:p>
          <w:p w14:paraId="1EC6976F" w14:textId="77777777" w:rsidR="00FC713A" w:rsidRPr="00FC713A" w:rsidRDefault="00FC713A" w:rsidP="000A5C15"/>
          <w:p w14:paraId="6FDF1388" w14:textId="77777777" w:rsidR="007F3667" w:rsidRPr="00052F5A" w:rsidRDefault="007F3667" w:rsidP="000A5C15">
            <w:pPr>
              <w:rPr>
                <w:b/>
                <w:bCs/>
              </w:rPr>
            </w:pPr>
          </w:p>
          <w:p w14:paraId="13040A5A" w14:textId="77777777" w:rsidR="00FE0925" w:rsidRPr="007F3667" w:rsidRDefault="00FE0925" w:rsidP="00FE0925">
            <w:pPr>
              <w:rPr>
                <w:b/>
                <w:i/>
              </w:rPr>
            </w:pPr>
            <w:r w:rsidRPr="007F3667">
              <w:rPr>
                <w:b/>
                <w:i/>
              </w:rPr>
              <w:t>Outcomes</w:t>
            </w:r>
            <w:r>
              <w:rPr>
                <w:b/>
                <w:i/>
              </w:rPr>
              <w:t xml:space="preserve">, findings and lessons </w:t>
            </w:r>
            <w:proofErr w:type="gramStart"/>
            <w:r>
              <w:rPr>
                <w:b/>
                <w:i/>
              </w:rPr>
              <w:t>learnt</w:t>
            </w:r>
            <w:proofErr w:type="gramEnd"/>
          </w:p>
          <w:p w14:paraId="66A84F38" w14:textId="77777777" w:rsidR="007F3667" w:rsidRPr="000A5C15" w:rsidRDefault="007F3667" w:rsidP="000A5C15"/>
          <w:p w14:paraId="02F51DD0" w14:textId="1E1BAFE3" w:rsidR="007F3667" w:rsidRDefault="007F3667" w:rsidP="00DD203D">
            <w:pPr>
              <w:pStyle w:val="ListParagraph"/>
              <w:numPr>
                <w:ilvl w:val="0"/>
                <w:numId w:val="14"/>
              </w:numPr>
            </w:pPr>
            <w:r>
              <w:t>Community engagement at this level costs more than initially anticipated, and has required available, and flexible resourcing.  For example, DMBC officers have been door knocking on weekends to ensure residents are more likely to be in.</w:t>
            </w:r>
          </w:p>
          <w:p w14:paraId="5DE9D9B7" w14:textId="77777777" w:rsidR="007F3667" w:rsidRDefault="007F3667" w:rsidP="000A5C15"/>
          <w:p w14:paraId="68AE0E87" w14:textId="267AAED0" w:rsidR="007F3667" w:rsidRPr="00BC5390" w:rsidRDefault="007F3667" w:rsidP="00DD203D">
            <w:pPr>
              <w:pStyle w:val="ListParagraph"/>
              <w:numPr>
                <w:ilvl w:val="0"/>
                <w:numId w:val="14"/>
              </w:numPr>
            </w:pPr>
            <w:r>
              <w:t xml:space="preserve">Engagement activities have been planned by the Keele </w:t>
            </w:r>
            <w:proofErr w:type="gramStart"/>
            <w:r>
              <w:t>team, but</w:t>
            </w:r>
            <w:proofErr w:type="gramEnd"/>
            <w:r>
              <w:t xml:space="preserve"> staffed with representatives across the </w:t>
            </w:r>
            <w:r>
              <w:lastRenderedPageBreak/>
              <w:t>project partners.  This has helped build specific skill sets and has helped with capacity within the LA.</w:t>
            </w:r>
          </w:p>
        </w:tc>
        <w:tc>
          <w:tcPr>
            <w:tcW w:w="3808" w:type="dxa"/>
          </w:tcPr>
          <w:p w14:paraId="39B84873" w14:textId="77777777" w:rsidR="007F3667" w:rsidRDefault="004D3F60" w:rsidP="75C22218">
            <w:pPr>
              <w:rPr>
                <w:b/>
                <w:bCs/>
                <w:i/>
                <w:iCs/>
              </w:rPr>
            </w:pPr>
            <w:r w:rsidRPr="75C22218">
              <w:rPr>
                <w:b/>
                <w:bCs/>
                <w:i/>
                <w:iCs/>
              </w:rPr>
              <w:lastRenderedPageBreak/>
              <w:t>Picture &amp; project partners</w:t>
            </w:r>
          </w:p>
          <w:p w14:paraId="027BCE69" w14:textId="77777777" w:rsidR="00EA225A" w:rsidRDefault="00EA225A" w:rsidP="75C22218">
            <w:pPr>
              <w:rPr>
                <w:i/>
                <w:iCs/>
              </w:rPr>
            </w:pPr>
          </w:p>
          <w:p w14:paraId="4134B922" w14:textId="62FE00B7" w:rsidR="000B520D" w:rsidRDefault="000B520D" w:rsidP="00EA225A">
            <w:pPr>
              <w:rPr>
                <w:b/>
                <w:bCs/>
                <w:i/>
                <w:iCs/>
              </w:rPr>
            </w:pPr>
            <w:r>
              <w:rPr>
                <w:noProof/>
              </w:rPr>
              <w:drawing>
                <wp:inline distT="0" distB="0" distL="0" distR="0" wp14:anchorId="3566F5FF" wp14:editId="2A522C6B">
                  <wp:extent cx="2032000" cy="2096915"/>
                  <wp:effectExtent l="0" t="0" r="0" b="0"/>
                  <wp:docPr id="3" name="Picture 3" descr="CIVIC SQUARE BIRMINGHAM 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C SQUARE BIRMINGHAM C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1744" cy="2106971"/>
                          </a:xfrm>
                          <a:prstGeom prst="rect">
                            <a:avLst/>
                          </a:prstGeom>
                          <a:noFill/>
                          <a:ln>
                            <a:noFill/>
                          </a:ln>
                        </pic:spPr>
                      </pic:pic>
                    </a:graphicData>
                  </a:graphic>
                </wp:inline>
              </w:drawing>
            </w:r>
          </w:p>
          <w:p w14:paraId="3D9F7595" w14:textId="32B7101C" w:rsidR="000B520D" w:rsidRPr="00DD203D" w:rsidRDefault="004C018B" w:rsidP="00EA225A">
            <w:r w:rsidRPr="00DD203D">
              <w:t>Lead partner</w:t>
            </w:r>
            <w:r w:rsidR="00E66CE2" w:rsidRPr="00DD203D">
              <w:t xml:space="preserve">: </w:t>
            </w:r>
            <w:r w:rsidR="00E66CE2">
              <w:t>Civic Square</w:t>
            </w:r>
          </w:p>
          <w:p w14:paraId="1B0D9E15" w14:textId="6E76D108" w:rsidR="00FD67AD" w:rsidRPr="00DD203D" w:rsidRDefault="00E66CE2" w:rsidP="00EA225A">
            <w:r w:rsidRPr="00DD203D">
              <w:t>Community engagement partner:</w:t>
            </w:r>
            <w:r>
              <w:t xml:space="preserve"> </w:t>
            </w:r>
            <w:r w:rsidR="001A008A">
              <w:t>Civic Square</w:t>
            </w:r>
            <w:r w:rsidR="00523B56">
              <w:t xml:space="preserve">/ Ladywood </w:t>
            </w:r>
            <w:r w:rsidR="00595409">
              <w:t>r</w:t>
            </w:r>
            <w:r w:rsidR="00523B56">
              <w:t>e</w:t>
            </w:r>
            <w:r w:rsidR="00595409">
              <w:t>sidents</w:t>
            </w:r>
          </w:p>
          <w:p w14:paraId="47636AC0" w14:textId="77777777" w:rsidR="00E66CE2" w:rsidRPr="00DD203D" w:rsidRDefault="00E66CE2" w:rsidP="00EA225A">
            <w:pPr>
              <w:rPr>
                <w:b/>
                <w:bCs/>
              </w:rPr>
            </w:pPr>
          </w:p>
          <w:p w14:paraId="5E004E09" w14:textId="75C82A59" w:rsidR="00F22DAF" w:rsidRDefault="00F22DAF" w:rsidP="00EA225A">
            <w:pPr>
              <w:rPr>
                <w:b/>
                <w:bCs/>
                <w:i/>
                <w:iCs/>
              </w:rPr>
            </w:pPr>
            <w:r>
              <w:rPr>
                <w:b/>
                <w:bCs/>
                <w:i/>
                <w:iCs/>
              </w:rPr>
              <w:t>Objective</w:t>
            </w:r>
          </w:p>
          <w:p w14:paraId="5FA309FD" w14:textId="77777777" w:rsidR="00790B1C" w:rsidRDefault="00790B1C" w:rsidP="00EA225A"/>
          <w:p w14:paraId="4C80194D" w14:textId="0A5AFCDB" w:rsidR="00001F02" w:rsidRPr="00DD203D" w:rsidRDefault="000F0DD0" w:rsidP="00EA225A">
            <w:r w:rsidRPr="00DD203D">
              <w:t xml:space="preserve">Visioning, </w:t>
            </w:r>
            <w:proofErr w:type="gramStart"/>
            <w:r w:rsidRPr="00DD203D">
              <w:t>building</w:t>
            </w:r>
            <w:proofErr w:type="gramEnd"/>
            <w:r w:rsidRPr="00DD203D">
              <w:t xml:space="preserve"> and investing in social and civic infrastructure for neighbourhoods of the future</w:t>
            </w:r>
            <w:r w:rsidR="0001272A" w:rsidRPr="00DD203D">
              <w:t xml:space="preserve"> using </w:t>
            </w:r>
            <w:r w:rsidR="00001F02" w:rsidRPr="00DD203D">
              <w:t xml:space="preserve">Kate </w:t>
            </w:r>
            <w:proofErr w:type="spellStart"/>
            <w:r w:rsidR="00001F02" w:rsidRPr="00DD203D">
              <w:t>Raworths</w:t>
            </w:r>
            <w:proofErr w:type="spellEnd"/>
            <w:r w:rsidR="00001F02" w:rsidRPr="00DD203D">
              <w:t xml:space="preserve"> doughnut principles </w:t>
            </w:r>
            <w:r w:rsidR="00001F02" w:rsidRPr="00DD203D">
              <w:lastRenderedPageBreak/>
              <w:t>as a compass for action.</w:t>
            </w:r>
            <w:r w:rsidR="00AD17A7" w:rsidRPr="00DD203D">
              <w:t xml:space="preserve"> The team is based in Ladywood, Birmingham</w:t>
            </w:r>
            <w:r w:rsidR="00125CB5" w:rsidRPr="00DD203D">
              <w:t xml:space="preserve"> with a physical site</w:t>
            </w:r>
            <w:r w:rsidR="006302F7" w:rsidRPr="00DD203D">
              <w:t xml:space="preserve"> at Port Loop and a neighbourhood demonstrator at Link Road.</w:t>
            </w:r>
          </w:p>
          <w:p w14:paraId="09C435CB" w14:textId="77777777" w:rsidR="00F22DAF" w:rsidRDefault="00F22DAF" w:rsidP="00EA225A">
            <w:pPr>
              <w:rPr>
                <w:b/>
                <w:bCs/>
                <w:i/>
                <w:iCs/>
              </w:rPr>
            </w:pPr>
          </w:p>
          <w:p w14:paraId="62AA4F5C" w14:textId="4AA95A76" w:rsidR="00EA225A" w:rsidRDefault="00EA225A" w:rsidP="00EA225A">
            <w:pPr>
              <w:rPr>
                <w:b/>
                <w:bCs/>
                <w:i/>
                <w:iCs/>
              </w:rPr>
            </w:pPr>
            <w:r w:rsidRPr="007F5A70">
              <w:rPr>
                <w:b/>
                <w:bCs/>
                <w:i/>
                <w:iCs/>
              </w:rPr>
              <w:t>Approach to engagement</w:t>
            </w:r>
          </w:p>
          <w:p w14:paraId="61FF312A" w14:textId="23C9B2D3" w:rsidR="008C2A72" w:rsidRDefault="00EA225A" w:rsidP="75C22218">
            <w:r>
              <w:t xml:space="preserve">The Civic Square team </w:t>
            </w:r>
            <w:r w:rsidR="008C2A72">
              <w:t xml:space="preserve">recognised that true co-creation is a </w:t>
            </w:r>
            <w:proofErr w:type="gramStart"/>
            <w:r w:rsidR="008C2A72">
              <w:t>long term</w:t>
            </w:r>
            <w:proofErr w:type="gramEnd"/>
            <w:r w:rsidR="008C2A72">
              <w:t xml:space="preserve"> journey. They </w:t>
            </w:r>
            <w:r>
              <w:t xml:space="preserve">prioritised </w:t>
            </w:r>
            <w:r w:rsidR="00772C49">
              <w:t>building relationship</w:t>
            </w:r>
            <w:r w:rsidR="008C2A72">
              <w:t>s</w:t>
            </w:r>
            <w:r w:rsidR="00772C49">
              <w:t xml:space="preserve"> and trust with</w:t>
            </w:r>
            <w:r w:rsidR="00763A03">
              <w:t xml:space="preserve"> </w:t>
            </w:r>
            <w:r w:rsidR="0022114B">
              <w:t xml:space="preserve">their Ladywood and </w:t>
            </w:r>
            <w:r w:rsidR="00763A03">
              <w:t xml:space="preserve">Link Road </w:t>
            </w:r>
            <w:r w:rsidR="0022114B">
              <w:t>neighbours</w:t>
            </w:r>
            <w:r w:rsidR="00763A03">
              <w:t xml:space="preserve">, </w:t>
            </w:r>
            <w:r w:rsidR="00B522C8">
              <w:t>by</w:t>
            </w:r>
            <w:r w:rsidR="00CE4272">
              <w:t xml:space="preserve"> providing </w:t>
            </w:r>
            <w:r w:rsidR="00842E4F">
              <w:t xml:space="preserve">a consistent, </w:t>
            </w:r>
            <w:proofErr w:type="gramStart"/>
            <w:r w:rsidR="00842E4F">
              <w:t>accessible</w:t>
            </w:r>
            <w:proofErr w:type="gramEnd"/>
            <w:r w:rsidR="00842E4F">
              <w:t xml:space="preserve"> and long-standing presence in the </w:t>
            </w:r>
            <w:r w:rsidR="0022114B">
              <w:t>area. T</w:t>
            </w:r>
            <w:r w:rsidR="00FF1454">
              <w:t>hrough</w:t>
            </w:r>
            <w:r w:rsidR="001858C5">
              <w:t xml:space="preserve"> </w:t>
            </w:r>
            <w:r w:rsidR="0022114B">
              <w:t xml:space="preserve">co-creation </w:t>
            </w:r>
            <w:r w:rsidR="001858C5">
              <w:t>initiatives such as</w:t>
            </w:r>
            <w:r w:rsidR="00FF1454">
              <w:t xml:space="preserve"> their ‘virtual </w:t>
            </w:r>
            <w:r w:rsidR="00AA3B81">
              <w:t>living room’</w:t>
            </w:r>
            <w:r w:rsidR="00CC0E77">
              <w:t>, the Regenerative Neighbourhoods Festival, the Link Road Supper Club</w:t>
            </w:r>
            <w:r w:rsidR="00EF3F3D">
              <w:t xml:space="preserve">, </w:t>
            </w:r>
            <w:r w:rsidR="008C2A72">
              <w:t xml:space="preserve">funded </w:t>
            </w:r>
            <w:r w:rsidR="00EF3F3D">
              <w:t>Peer</w:t>
            </w:r>
            <w:r w:rsidR="00961A73">
              <w:t>-To-Peer learning journ</w:t>
            </w:r>
            <w:r w:rsidR="008C2A72">
              <w:t xml:space="preserve">eys </w:t>
            </w:r>
            <w:r w:rsidR="009311A1">
              <w:t>and the Neighbourhood Trade School they have</w:t>
            </w:r>
            <w:r w:rsidR="00FE5041">
              <w:t xml:space="preserve"> </w:t>
            </w:r>
            <w:r w:rsidR="00467CEB">
              <w:t>dev</w:t>
            </w:r>
            <w:r w:rsidR="00C91193">
              <w:t xml:space="preserve">eloped a </w:t>
            </w:r>
            <w:r w:rsidR="00D10C79">
              <w:t xml:space="preserve">huge amount of buy-in to neighbourhood </w:t>
            </w:r>
            <w:proofErr w:type="gramStart"/>
            <w:r w:rsidR="00D10C79">
              <w:t>regeneration, and</w:t>
            </w:r>
            <w:proofErr w:type="gramEnd"/>
            <w:r w:rsidR="00D10C79">
              <w:t xml:space="preserve"> upskilled the community to </w:t>
            </w:r>
            <w:r w:rsidR="00BA580C">
              <w:t>lead</w:t>
            </w:r>
            <w:r w:rsidR="00D10C79">
              <w:t xml:space="preserve"> deliver</w:t>
            </w:r>
            <w:r w:rsidR="00BA580C">
              <w:t>y</w:t>
            </w:r>
            <w:r w:rsidR="00D10C79">
              <w:t xml:space="preserve"> on </w:t>
            </w:r>
            <w:r w:rsidR="00BA580C">
              <w:t>a wide range of different projects.</w:t>
            </w:r>
          </w:p>
          <w:p w14:paraId="3271D5F1" w14:textId="77777777" w:rsidR="008C2A72" w:rsidRDefault="008C2A72" w:rsidP="75C22218"/>
          <w:p w14:paraId="41A54B8F" w14:textId="560B1878" w:rsidR="00EA225A" w:rsidRDefault="003E266C" w:rsidP="75C22218">
            <w:r>
              <w:t xml:space="preserve">.  </w:t>
            </w:r>
          </w:p>
          <w:p w14:paraId="12560754" w14:textId="77777777" w:rsidR="003E266C" w:rsidRDefault="003E266C" w:rsidP="75C22218"/>
          <w:p w14:paraId="1AB2A6F3" w14:textId="4D0F5C88" w:rsidR="001171E3" w:rsidRDefault="003E266C" w:rsidP="00DD203D">
            <w:pPr>
              <w:spacing w:line="259" w:lineRule="auto"/>
            </w:pPr>
            <w:r>
              <w:t xml:space="preserve">This ties into the underlying ethos of Civic Square’s engagement approach – </w:t>
            </w:r>
            <w:r w:rsidR="5EB397BA">
              <w:t xml:space="preserve">which rather than </w:t>
            </w:r>
            <w:r w:rsidR="677493DF">
              <w:t>parachuting</w:t>
            </w:r>
            <w:r>
              <w:t xml:space="preserve"> in</w:t>
            </w:r>
            <w:r w:rsidR="003B464F">
              <w:t xml:space="preserve">, attempting to lead a project with the community, </w:t>
            </w:r>
            <w:r w:rsidR="004C018B">
              <w:t>empowers</w:t>
            </w:r>
            <w:r w:rsidR="002C752E">
              <w:t xml:space="preserve"> and provide</w:t>
            </w:r>
            <w:r w:rsidR="32D01E46">
              <w:t>s</w:t>
            </w:r>
            <w:r w:rsidR="002C752E">
              <w:t xml:space="preserve"> the </w:t>
            </w:r>
            <w:r w:rsidR="00197A27">
              <w:t xml:space="preserve">space </w:t>
            </w:r>
            <w:r w:rsidR="00197A27">
              <w:lastRenderedPageBreak/>
              <w:t xml:space="preserve">and infrastructure required for </w:t>
            </w:r>
            <w:r w:rsidR="00F36691">
              <w:t xml:space="preserve">residents to design, lead, and deliver projects that work best for the neighbourhood.  </w:t>
            </w:r>
          </w:p>
          <w:p w14:paraId="05F9C3DE" w14:textId="77777777" w:rsidR="001171E3" w:rsidRDefault="001171E3" w:rsidP="75C22218"/>
          <w:p w14:paraId="4C6CBEC9" w14:textId="7BD8C820" w:rsidR="001171E3" w:rsidRDefault="00E01AD5" w:rsidP="75C22218">
            <w:r>
              <w:t>In Civ</w:t>
            </w:r>
            <w:r w:rsidR="00BA580C">
              <w:t>i</w:t>
            </w:r>
            <w:r>
              <w:t xml:space="preserve">c Square’s own words, </w:t>
            </w:r>
            <w:r w:rsidR="00623EBC">
              <w:t xml:space="preserve">their approach to engagement can be summarised through the following </w:t>
            </w:r>
            <w:r w:rsidR="00AD749C">
              <w:t>‘crafts’:</w:t>
            </w:r>
          </w:p>
          <w:p w14:paraId="5BEE5063" w14:textId="77777777" w:rsidR="00AD749C" w:rsidRDefault="00AD749C" w:rsidP="75C22218"/>
          <w:p w14:paraId="4BB0C995" w14:textId="0FCF7B8E" w:rsidR="00936EBE" w:rsidRDefault="00076BB6" w:rsidP="004C018B">
            <w:pPr>
              <w:pStyle w:val="ListParagraph"/>
              <w:numPr>
                <w:ilvl w:val="0"/>
                <w:numId w:val="15"/>
              </w:numPr>
              <w:spacing w:after="160" w:line="259" w:lineRule="auto"/>
            </w:pPr>
            <w:r w:rsidRPr="00DD203D">
              <w:rPr>
                <w:b/>
                <w:bCs/>
              </w:rPr>
              <w:t>Grounding</w:t>
            </w:r>
            <w:r>
              <w:t xml:space="preserve"> </w:t>
            </w:r>
            <w:r w:rsidR="00790B1C">
              <w:t>–</w:t>
            </w:r>
            <w:r>
              <w:t xml:space="preserve"> </w:t>
            </w:r>
            <w:r w:rsidR="00936EBE">
              <w:t>A humble, supportive, critical space to return to, to (re)discover,</w:t>
            </w:r>
            <w:r w:rsidR="004C018B">
              <w:t xml:space="preserve"> </w:t>
            </w:r>
            <w:r w:rsidR="00936EBE">
              <w:t xml:space="preserve">(re)design and (re)establish value, and ground back </w:t>
            </w:r>
            <w:proofErr w:type="gramStart"/>
            <w:r w:rsidR="00936EBE">
              <w:t>in to</w:t>
            </w:r>
            <w:proofErr w:type="gramEnd"/>
            <w:r w:rsidR="00936EBE">
              <w:t xml:space="preserve"> the mission</w:t>
            </w:r>
            <w:r w:rsidR="00936EBE" w:rsidRPr="00DD203D">
              <w:rPr>
                <w:rStyle w:val="CommentReference"/>
              </w:rPr>
              <w:t>.</w:t>
            </w:r>
          </w:p>
          <w:p w14:paraId="009FBCF4" w14:textId="77777777" w:rsidR="00936EBE" w:rsidRDefault="00936EBE" w:rsidP="00936EBE">
            <w:pPr>
              <w:ind w:left="360"/>
            </w:pPr>
          </w:p>
          <w:p w14:paraId="7D620E26" w14:textId="437F598C" w:rsidR="00FE54D3" w:rsidRPr="00AE75FE" w:rsidRDefault="00FE54D3" w:rsidP="00FE54D3">
            <w:pPr>
              <w:pStyle w:val="ListParagraph"/>
              <w:numPr>
                <w:ilvl w:val="0"/>
                <w:numId w:val="15"/>
              </w:numPr>
            </w:pPr>
            <w:r w:rsidRPr="00DD203D">
              <w:rPr>
                <w:b/>
                <w:bCs/>
              </w:rPr>
              <w:t>Starting Where We Are</w:t>
            </w:r>
            <w:r w:rsidRPr="00DD203D">
              <w:t xml:space="preserve"> </w:t>
            </w:r>
            <w:r w:rsidR="00790B1C">
              <w:t>–</w:t>
            </w:r>
          </w:p>
          <w:p w14:paraId="35C5B786" w14:textId="77777777" w:rsidR="00FE54D3" w:rsidRDefault="00FE54D3" w:rsidP="00DD203D">
            <w:pPr>
              <w:pStyle w:val="ListParagraph"/>
            </w:pPr>
            <w:r>
              <w:t>Getting our own home in order,</w:t>
            </w:r>
          </w:p>
          <w:p w14:paraId="2A49EA86" w14:textId="3455154F" w:rsidR="00FE54D3" w:rsidRDefault="00FE54D3" w:rsidP="00AE75FE">
            <w:pPr>
              <w:pStyle w:val="ListParagraph"/>
            </w:pPr>
            <w:r>
              <w:t xml:space="preserve">centring the neighbourhood, the existing expertise and ideas of its histories, </w:t>
            </w:r>
            <w:proofErr w:type="gramStart"/>
            <w:r>
              <w:t>wisdom</w:t>
            </w:r>
            <w:proofErr w:type="gramEnd"/>
            <w:r>
              <w:t xml:space="preserve"> and assets.</w:t>
            </w:r>
          </w:p>
          <w:p w14:paraId="50821158" w14:textId="77777777" w:rsidR="00001C51" w:rsidRDefault="00001C51" w:rsidP="00AE75FE">
            <w:pPr>
              <w:pStyle w:val="ListParagraph"/>
            </w:pPr>
          </w:p>
          <w:p w14:paraId="532DEA9C" w14:textId="662B6EBE" w:rsidR="00001C51" w:rsidRPr="00001C51" w:rsidRDefault="00001C51" w:rsidP="00001C51">
            <w:pPr>
              <w:pStyle w:val="ListParagraph"/>
              <w:numPr>
                <w:ilvl w:val="0"/>
                <w:numId w:val="15"/>
              </w:numPr>
            </w:pPr>
            <w:r w:rsidRPr="00DD203D">
              <w:rPr>
                <w:b/>
                <w:bCs/>
              </w:rPr>
              <w:t>Research, Reframe</w:t>
            </w:r>
            <w:r>
              <w:t xml:space="preserve"> </w:t>
            </w:r>
            <w:r w:rsidR="00790B1C">
              <w:t>–</w:t>
            </w:r>
            <w:r>
              <w:t xml:space="preserve"> </w:t>
            </w:r>
          </w:p>
          <w:p w14:paraId="4ADA4E6D" w14:textId="7C16B3EB" w:rsidR="00AE75FE" w:rsidRDefault="00001C51" w:rsidP="00001C51">
            <w:pPr>
              <w:pStyle w:val="ListParagraph"/>
            </w:pPr>
            <w:r>
              <w:t>A space to keep interrogating and shaping the scope of the work, and continually reframe the challenge from deficit to opportunity.</w:t>
            </w:r>
          </w:p>
          <w:p w14:paraId="347C1649" w14:textId="77777777" w:rsidR="00001C51" w:rsidRDefault="00001C51" w:rsidP="00001C51">
            <w:pPr>
              <w:pStyle w:val="ListParagraph"/>
            </w:pPr>
          </w:p>
          <w:p w14:paraId="0D8156D7" w14:textId="76B1AC2F" w:rsidR="00C665AB" w:rsidRDefault="00C665AB" w:rsidP="00C665AB">
            <w:pPr>
              <w:pStyle w:val="ListParagraph"/>
              <w:numPr>
                <w:ilvl w:val="0"/>
                <w:numId w:val="15"/>
              </w:numPr>
            </w:pPr>
            <w:r w:rsidRPr="00DD203D">
              <w:rPr>
                <w:b/>
                <w:bCs/>
              </w:rPr>
              <w:t>Making Visible, Reimagining</w:t>
            </w:r>
            <w:r w:rsidR="00B86FB4">
              <w:t xml:space="preserve"> </w:t>
            </w:r>
            <w:r w:rsidR="00790B1C">
              <w:t>–</w:t>
            </w:r>
          </w:p>
          <w:p w14:paraId="35ED3C04" w14:textId="77777777" w:rsidR="00C665AB" w:rsidRDefault="00C665AB" w:rsidP="00DD203D">
            <w:pPr>
              <w:pStyle w:val="ListParagraph"/>
            </w:pPr>
            <w:r>
              <w:lastRenderedPageBreak/>
              <w:t>Collectively making visible the</w:t>
            </w:r>
          </w:p>
          <w:p w14:paraId="2990C0D0" w14:textId="77777777" w:rsidR="00602463" w:rsidRDefault="00602463" w:rsidP="75C22218"/>
          <w:p w14:paraId="0FD6FC3D" w14:textId="77777777" w:rsidR="009024C2" w:rsidRDefault="009024C2" w:rsidP="75C22218"/>
          <w:p w14:paraId="7B2B5C5F" w14:textId="77777777" w:rsidR="00443C07" w:rsidRDefault="00443C07" w:rsidP="75C22218"/>
          <w:p w14:paraId="1446FA63" w14:textId="77777777" w:rsidR="00B176F7" w:rsidRDefault="00B176F7" w:rsidP="75C22218"/>
          <w:p w14:paraId="3DCF7316" w14:textId="5EF9CE5F" w:rsidR="00602463" w:rsidRDefault="0081460C" w:rsidP="75C22218">
            <w:r>
              <w:t xml:space="preserve">For </w:t>
            </w:r>
            <w:r w:rsidR="003428DB">
              <w:t xml:space="preserve">more information on the approach to community engagement undertaken by Civic Square, </w:t>
            </w:r>
            <w:r w:rsidR="0040734E">
              <w:t xml:space="preserve">see their </w:t>
            </w:r>
            <w:hyperlink r:id="rId17" w:history="1">
              <w:r w:rsidR="0040734E" w:rsidRPr="00350F98">
                <w:rPr>
                  <w:rStyle w:val="Hyperlink"/>
                </w:rPr>
                <w:t>Notion pages</w:t>
              </w:r>
            </w:hyperlink>
            <w:r w:rsidR="00350F98">
              <w:t xml:space="preserve">, </w:t>
            </w:r>
            <w:r w:rsidR="000A6540">
              <w:t xml:space="preserve">which holds </w:t>
            </w:r>
            <w:r w:rsidR="00DC4E83">
              <w:t>all of their work to date</w:t>
            </w:r>
            <w:r w:rsidR="4ADC3EF3">
              <w:t>.</w:t>
            </w:r>
          </w:p>
          <w:p w14:paraId="5DF73848" w14:textId="306EF69E" w:rsidR="00602463" w:rsidRDefault="11BCEACD" w:rsidP="75C22218">
            <w:r>
              <w:t>This is</w:t>
            </w:r>
            <w:r w:rsidR="00DC4E83">
              <w:t xml:space="preserve"> published under </w:t>
            </w:r>
            <w:r w:rsidR="001A1E32">
              <w:t>the Collective Commons</w:t>
            </w:r>
            <w:r w:rsidR="00BA580C">
              <w:t xml:space="preserve"> </w:t>
            </w:r>
            <w:r w:rsidR="6CB1F78B">
              <w:t xml:space="preserve">and </w:t>
            </w:r>
            <w:proofErr w:type="spellStart"/>
            <w:r w:rsidR="6CB1F78B">
              <w:t>is</w:t>
            </w:r>
            <w:r w:rsidR="00BA580C">
              <w:t>freely</w:t>
            </w:r>
            <w:proofErr w:type="spellEnd"/>
            <w:r w:rsidR="00BA580C">
              <w:t xml:space="preserve"> available</w:t>
            </w:r>
            <w:r w:rsidR="00277333">
              <w:t>.</w:t>
            </w:r>
          </w:p>
          <w:p w14:paraId="0D9737C3" w14:textId="77777777" w:rsidR="00F22DAF" w:rsidRDefault="00F22DAF" w:rsidP="75C22218"/>
          <w:p w14:paraId="63208125" w14:textId="77777777" w:rsidR="00BB390D" w:rsidRPr="007F3667" w:rsidRDefault="00BB390D" w:rsidP="00BB390D">
            <w:pPr>
              <w:rPr>
                <w:b/>
                <w:i/>
              </w:rPr>
            </w:pPr>
            <w:r w:rsidRPr="007F3667">
              <w:rPr>
                <w:b/>
                <w:i/>
              </w:rPr>
              <w:t>How NZN guidelines were applied</w:t>
            </w:r>
          </w:p>
          <w:p w14:paraId="7727FE13" w14:textId="65C52F17" w:rsidR="00F22DAF" w:rsidRDefault="00F22DAF" w:rsidP="75C22218"/>
          <w:p w14:paraId="63603EB6" w14:textId="27969139" w:rsidR="00773C19" w:rsidRDefault="00D27EBE" w:rsidP="00773C19">
            <w:pPr>
              <w:pStyle w:val="ListParagraph"/>
              <w:numPr>
                <w:ilvl w:val="0"/>
                <w:numId w:val="16"/>
              </w:numPr>
            </w:pPr>
            <w:r>
              <w:t xml:space="preserve">Framing </w:t>
            </w:r>
            <w:r w:rsidR="00482067">
              <w:t xml:space="preserve">engagement </w:t>
            </w:r>
            <w:r w:rsidR="0022403C">
              <w:t xml:space="preserve">around a central theme </w:t>
            </w:r>
            <w:r w:rsidR="004E2124">
              <w:t>to ensure consistent messaging</w:t>
            </w:r>
            <w:r w:rsidR="00C72E9E">
              <w:t>.</w:t>
            </w:r>
          </w:p>
          <w:p w14:paraId="41FD7E8A" w14:textId="4E839EBF" w:rsidR="004E2124" w:rsidRDefault="00323AB8" w:rsidP="00773C19">
            <w:pPr>
              <w:pStyle w:val="ListParagraph"/>
              <w:numPr>
                <w:ilvl w:val="0"/>
                <w:numId w:val="16"/>
              </w:numPr>
            </w:pPr>
            <w:r>
              <w:t>Develop a</w:t>
            </w:r>
            <w:r w:rsidR="00AE20C0">
              <w:t xml:space="preserve">n understanding of the place, </w:t>
            </w:r>
            <w:r w:rsidR="006C02EF">
              <w:t>both quantita</w:t>
            </w:r>
            <w:r w:rsidR="00A6687A">
              <w:t xml:space="preserve">tively </w:t>
            </w:r>
            <w:r w:rsidR="001A2951">
              <w:t xml:space="preserve">through data, and </w:t>
            </w:r>
            <w:r w:rsidR="00E538CF">
              <w:t>qualitatively</w:t>
            </w:r>
            <w:r w:rsidR="001A2951">
              <w:t xml:space="preserve"> by listening to</w:t>
            </w:r>
            <w:r w:rsidR="00E538CF">
              <w:t xml:space="preserve"> </w:t>
            </w:r>
            <w:r w:rsidR="00C72E9E">
              <w:t>peoples lived experiences.</w:t>
            </w:r>
          </w:p>
          <w:p w14:paraId="70866E03" w14:textId="1F53E10C" w:rsidR="00C72E9E" w:rsidRDefault="00C72E9E" w:rsidP="00773C19">
            <w:pPr>
              <w:pStyle w:val="ListParagraph"/>
              <w:numPr>
                <w:ilvl w:val="0"/>
                <w:numId w:val="16"/>
              </w:numPr>
            </w:pPr>
            <w:r>
              <w:t xml:space="preserve">Ensuring events are </w:t>
            </w:r>
            <w:r w:rsidR="0057415A">
              <w:t>accessible to all</w:t>
            </w:r>
            <w:r w:rsidR="00FA603A">
              <w:t>.</w:t>
            </w:r>
          </w:p>
          <w:p w14:paraId="4A7B7CF8" w14:textId="4A1E66F0" w:rsidR="0057415A" w:rsidRDefault="00FA603A" w:rsidP="00773C19">
            <w:pPr>
              <w:pStyle w:val="ListParagraph"/>
              <w:numPr>
                <w:ilvl w:val="0"/>
                <w:numId w:val="16"/>
              </w:numPr>
            </w:pPr>
            <w:r>
              <w:t xml:space="preserve">Deliver on the things that matter most to </w:t>
            </w:r>
            <w:proofErr w:type="gramStart"/>
            <w:r>
              <w:t>residents, and</w:t>
            </w:r>
            <w:proofErr w:type="gramEnd"/>
            <w:r>
              <w:t xml:space="preserve"> empower them </w:t>
            </w:r>
            <w:r w:rsidR="00CA1EB3">
              <w:t>to make informed decisions</w:t>
            </w:r>
            <w:r w:rsidR="00A15D36">
              <w:t xml:space="preserve"> </w:t>
            </w:r>
            <w:r w:rsidR="006934C0">
              <w:t>by sharing knowledge about</w:t>
            </w:r>
            <w:r w:rsidR="00A37780">
              <w:t xml:space="preserve"> potential outcomes, both positive and negative</w:t>
            </w:r>
            <w:r w:rsidR="00EE2331">
              <w:t>.</w:t>
            </w:r>
          </w:p>
          <w:p w14:paraId="6582393F" w14:textId="5261625F" w:rsidR="00A37780" w:rsidRDefault="00AC193A" w:rsidP="00DD203D">
            <w:pPr>
              <w:pStyle w:val="ListParagraph"/>
              <w:numPr>
                <w:ilvl w:val="0"/>
                <w:numId w:val="16"/>
              </w:numPr>
            </w:pPr>
            <w:r>
              <w:t xml:space="preserve">Continually reviewing engagement approaches to find what works best for the </w:t>
            </w:r>
            <w:proofErr w:type="gramStart"/>
            <w:r>
              <w:lastRenderedPageBreak/>
              <w:t>neighbourhood, and</w:t>
            </w:r>
            <w:proofErr w:type="gramEnd"/>
            <w:r>
              <w:t xml:space="preserve"> adapting as appropriate.</w:t>
            </w:r>
          </w:p>
          <w:p w14:paraId="47CDCE1B" w14:textId="77777777" w:rsidR="00BB390D" w:rsidRDefault="00BB390D" w:rsidP="75C22218"/>
          <w:p w14:paraId="387BF727" w14:textId="77777777" w:rsidR="00FE0925" w:rsidRPr="007F3667" w:rsidRDefault="00FE0925" w:rsidP="00FE0925">
            <w:pPr>
              <w:rPr>
                <w:b/>
                <w:i/>
              </w:rPr>
            </w:pPr>
            <w:r w:rsidRPr="007F3667">
              <w:rPr>
                <w:b/>
                <w:i/>
              </w:rPr>
              <w:t>Outcomes</w:t>
            </w:r>
            <w:r>
              <w:rPr>
                <w:b/>
                <w:i/>
              </w:rPr>
              <w:t xml:space="preserve">, findings and lessons </w:t>
            </w:r>
            <w:proofErr w:type="gramStart"/>
            <w:r>
              <w:rPr>
                <w:b/>
                <w:i/>
              </w:rPr>
              <w:t>learnt</w:t>
            </w:r>
            <w:proofErr w:type="gramEnd"/>
          </w:p>
          <w:p w14:paraId="1BFBFBBC" w14:textId="77777777" w:rsidR="00AF06BC" w:rsidRDefault="00AF06BC" w:rsidP="00BB390D">
            <w:pPr>
              <w:rPr>
                <w:bCs/>
                <w:iCs/>
              </w:rPr>
            </w:pPr>
          </w:p>
          <w:p w14:paraId="7116A4C8" w14:textId="34F5442B" w:rsidR="00571FDF" w:rsidRDefault="00AC193A" w:rsidP="00571FDF">
            <w:pPr>
              <w:pStyle w:val="ListParagraph"/>
              <w:numPr>
                <w:ilvl w:val="0"/>
                <w:numId w:val="17"/>
              </w:numPr>
              <w:rPr>
                <w:bCs/>
                <w:iCs/>
              </w:rPr>
            </w:pPr>
            <w:r>
              <w:rPr>
                <w:bCs/>
                <w:iCs/>
              </w:rPr>
              <w:t xml:space="preserve">Access to </w:t>
            </w:r>
            <w:r w:rsidR="00EF0AA3">
              <w:rPr>
                <w:bCs/>
                <w:iCs/>
              </w:rPr>
              <w:t>events</w:t>
            </w:r>
            <w:r w:rsidR="00593D89">
              <w:rPr>
                <w:bCs/>
                <w:iCs/>
              </w:rPr>
              <w:t xml:space="preserve">, </w:t>
            </w:r>
            <w:r w:rsidR="004C018B">
              <w:rPr>
                <w:bCs/>
                <w:iCs/>
              </w:rPr>
              <w:t>p</w:t>
            </w:r>
            <w:r w:rsidR="004C018B" w:rsidRPr="004C018B">
              <w:rPr>
                <w:bCs/>
                <w:iCs/>
              </w:rPr>
              <w:t xml:space="preserve">hysical access, as well as time and cost acted as a barrier for some </w:t>
            </w:r>
            <w:proofErr w:type="gramStart"/>
            <w:r w:rsidR="004C018B" w:rsidRPr="004C018B">
              <w:rPr>
                <w:bCs/>
                <w:iCs/>
              </w:rPr>
              <w:t>residents</w:t>
            </w:r>
            <w:r w:rsidR="004C018B">
              <w:rPr>
                <w:bCs/>
                <w:iCs/>
              </w:rPr>
              <w:t xml:space="preserve">  </w:t>
            </w:r>
            <w:r w:rsidR="004C018B" w:rsidRPr="004C018B">
              <w:rPr>
                <w:bCs/>
                <w:iCs/>
              </w:rPr>
              <w:t>.</w:t>
            </w:r>
            <w:proofErr w:type="gramEnd"/>
            <w:r w:rsidR="00C1109B">
              <w:rPr>
                <w:bCs/>
                <w:iCs/>
              </w:rPr>
              <w:t>As such</w:t>
            </w:r>
            <w:r w:rsidR="00B33DE1">
              <w:rPr>
                <w:bCs/>
                <w:iCs/>
              </w:rPr>
              <w:t xml:space="preserve">, lots of activities were held on Link Road itself, </w:t>
            </w:r>
            <w:r w:rsidR="00A6536C">
              <w:rPr>
                <w:bCs/>
                <w:iCs/>
              </w:rPr>
              <w:t xml:space="preserve">with a travel bursary available for </w:t>
            </w:r>
            <w:r w:rsidR="00655D8D">
              <w:rPr>
                <w:bCs/>
                <w:iCs/>
              </w:rPr>
              <w:t>events held further away.</w:t>
            </w:r>
          </w:p>
          <w:p w14:paraId="34795C90" w14:textId="77777777" w:rsidR="00F50933" w:rsidRDefault="00F50933" w:rsidP="00DD203D">
            <w:pPr>
              <w:pStyle w:val="ListParagraph"/>
              <w:rPr>
                <w:bCs/>
                <w:iCs/>
              </w:rPr>
            </w:pPr>
          </w:p>
          <w:p w14:paraId="1D778364" w14:textId="3F8DBF4E" w:rsidR="00655D8D" w:rsidRDefault="00303859" w:rsidP="00571FDF">
            <w:pPr>
              <w:pStyle w:val="ListParagraph"/>
              <w:numPr>
                <w:ilvl w:val="0"/>
                <w:numId w:val="17"/>
              </w:numPr>
              <w:rPr>
                <w:bCs/>
                <w:iCs/>
              </w:rPr>
            </w:pPr>
            <w:r w:rsidRPr="00303859">
              <w:rPr>
                <w:bCs/>
                <w:iCs/>
              </w:rPr>
              <w:t>As this programme is intended to be a long-term journey, the team provided micro-grants as part of the ‘Dream Fund’</w:t>
            </w:r>
            <w:r>
              <w:rPr>
                <w:bCs/>
                <w:iCs/>
              </w:rPr>
              <w:t xml:space="preserve"> </w:t>
            </w:r>
            <w:r w:rsidRPr="00303859">
              <w:rPr>
                <w:bCs/>
                <w:iCs/>
              </w:rPr>
              <w:t>equivalent to ~£1000 per household for residents to access.  Interestingly some residents pooled these grants to deliver higher-impact, shared resources.  As such, these small grants delivered both small wins to keep momentum and provided space for hyper-local governance to develop.</w:t>
            </w:r>
          </w:p>
          <w:p w14:paraId="19278F72" w14:textId="77777777" w:rsidR="00790B1C" w:rsidRDefault="00790B1C" w:rsidP="00790B1C">
            <w:pPr>
              <w:pStyle w:val="ListParagraph"/>
              <w:rPr>
                <w:bCs/>
                <w:iCs/>
              </w:rPr>
            </w:pPr>
          </w:p>
          <w:p w14:paraId="7903685C" w14:textId="26CF76BD" w:rsidR="00F50933" w:rsidRDefault="00F50933" w:rsidP="00DD203D">
            <w:pPr>
              <w:pStyle w:val="ListParagraph"/>
              <w:rPr>
                <w:bCs/>
                <w:iCs/>
              </w:rPr>
            </w:pPr>
          </w:p>
          <w:p w14:paraId="35A87945" w14:textId="328A7DB8" w:rsidR="00303859" w:rsidRPr="00DD203D" w:rsidRDefault="00F50933" w:rsidP="00DD203D">
            <w:pPr>
              <w:pStyle w:val="ListParagraph"/>
              <w:numPr>
                <w:ilvl w:val="0"/>
                <w:numId w:val="17"/>
              </w:numPr>
              <w:rPr>
                <w:bCs/>
                <w:iCs/>
              </w:rPr>
            </w:pPr>
            <w:r w:rsidRPr="00F50933">
              <w:rPr>
                <w:bCs/>
                <w:iCs/>
              </w:rPr>
              <w:t>The team also note</w:t>
            </w:r>
            <w:r w:rsidR="00912997">
              <w:rPr>
                <w:bCs/>
                <w:iCs/>
              </w:rPr>
              <w:t>s</w:t>
            </w:r>
            <w:r w:rsidRPr="00F50933">
              <w:rPr>
                <w:bCs/>
                <w:iCs/>
              </w:rPr>
              <w:t xml:space="preserve"> that this approach to engagement is resource intensive</w:t>
            </w:r>
            <w:r w:rsidR="19908264">
              <w:t>.</w:t>
            </w:r>
            <w:r w:rsidR="004C018B">
              <w:t xml:space="preserve">  </w:t>
            </w:r>
            <w:proofErr w:type="gramStart"/>
            <w:r w:rsidR="3CB609A4">
              <w:t>H</w:t>
            </w:r>
            <w:r>
              <w:t>owever</w:t>
            </w:r>
            <w:r w:rsidR="0161359D">
              <w:t>,</w:t>
            </w:r>
            <w:r w:rsidRPr="00F50933">
              <w:rPr>
                <w:bCs/>
                <w:iCs/>
              </w:rPr>
              <w:t xml:space="preserve">  developing</w:t>
            </w:r>
            <w:proofErr w:type="gramEnd"/>
            <w:r w:rsidRPr="00F50933">
              <w:rPr>
                <w:bCs/>
                <w:iCs/>
              </w:rPr>
              <w:t xml:space="preserve"> a great </w:t>
            </w:r>
            <w:r w:rsidRPr="00F50933">
              <w:rPr>
                <w:bCs/>
                <w:iCs/>
              </w:rPr>
              <w:lastRenderedPageBreak/>
              <w:t xml:space="preserve">level of trust, supporting a space for democratic ownership of projects, and appropriate sharing of knowledge, </w:t>
            </w:r>
            <w:r>
              <w:t>ha</w:t>
            </w:r>
            <w:r w:rsidR="3A63EDBC">
              <w:t>s</w:t>
            </w:r>
            <w:r w:rsidRPr="00F50933">
              <w:rPr>
                <w:bCs/>
                <w:iCs/>
              </w:rPr>
              <w:t xml:space="preserve"> supported the development of a huge amount of buy-in to retrofit and decarbonisation in the street.</w:t>
            </w:r>
          </w:p>
          <w:p w14:paraId="1DB6D25F" w14:textId="77777777" w:rsidR="00790B1C" w:rsidRDefault="00790B1C" w:rsidP="00DD203D">
            <w:pPr>
              <w:pStyle w:val="ListParagraph"/>
            </w:pPr>
          </w:p>
          <w:p w14:paraId="69F63ED4" w14:textId="0A5286D1" w:rsidR="00BB390D" w:rsidRPr="00EA225A" w:rsidRDefault="00BB390D" w:rsidP="75C22218"/>
        </w:tc>
        <w:tc>
          <w:tcPr>
            <w:tcW w:w="3915" w:type="dxa"/>
          </w:tcPr>
          <w:p w14:paraId="28641E6B" w14:textId="7F887947" w:rsidR="008D0D99" w:rsidRPr="00585E8D" w:rsidRDefault="006323DE" w:rsidP="75C22218">
            <w:pPr>
              <w:rPr>
                <w:b/>
                <w:bCs/>
                <w:i/>
                <w:iCs/>
              </w:rPr>
            </w:pPr>
            <w:r w:rsidRPr="00DC33AA">
              <w:rPr>
                <w:noProof/>
              </w:rPr>
              <w:lastRenderedPageBreak/>
              <w:drawing>
                <wp:anchor distT="0" distB="0" distL="114300" distR="114300" simplePos="0" relativeHeight="251658240" behindDoc="0" locked="0" layoutInCell="1" allowOverlap="1" wp14:anchorId="5B32B949" wp14:editId="5E59A482">
                  <wp:simplePos x="0" y="0"/>
                  <wp:positionH relativeFrom="column">
                    <wp:posOffset>-20906</wp:posOffset>
                  </wp:positionH>
                  <wp:positionV relativeFrom="paragraph">
                    <wp:posOffset>193675</wp:posOffset>
                  </wp:positionV>
                  <wp:extent cx="2348865" cy="2235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865" cy="2235835"/>
                          </a:xfrm>
                          <a:prstGeom prst="rect">
                            <a:avLst/>
                          </a:prstGeom>
                          <a:noFill/>
                          <a:ln>
                            <a:noFill/>
                          </a:ln>
                        </pic:spPr>
                      </pic:pic>
                    </a:graphicData>
                  </a:graphic>
                  <wp14:sizeRelV relativeFrom="margin">
                    <wp14:pctHeight>0</wp14:pctHeight>
                  </wp14:sizeRelV>
                </wp:anchor>
              </w:drawing>
            </w:r>
            <w:r w:rsidR="003D1298" w:rsidRPr="75C22218">
              <w:rPr>
                <w:b/>
                <w:bCs/>
                <w:i/>
                <w:iCs/>
              </w:rPr>
              <w:t>Picture &amp; project partners</w:t>
            </w:r>
          </w:p>
          <w:p w14:paraId="28B3E3C4" w14:textId="1D1ABB54" w:rsidR="003D1298" w:rsidRPr="00855FF4" w:rsidRDefault="004C018B" w:rsidP="003D1298">
            <w:r w:rsidRPr="00855FF4">
              <w:t>Lead partner</w:t>
            </w:r>
            <w:r w:rsidR="003D1298" w:rsidRPr="00855FF4">
              <w:t xml:space="preserve">: </w:t>
            </w:r>
            <w:r w:rsidR="00FD36C1">
              <w:t>John</w:t>
            </w:r>
            <w:r>
              <w:t xml:space="preserve"> </w:t>
            </w:r>
            <w:r w:rsidR="00386141">
              <w:t xml:space="preserve">Christophers </w:t>
            </w:r>
            <w:r w:rsidR="005C6408">
              <w:t>–</w:t>
            </w:r>
            <w:r w:rsidR="00A67AF0">
              <w:t xml:space="preserve"> Zero</w:t>
            </w:r>
            <w:r w:rsidR="005C6408">
              <w:t xml:space="preserve"> C</w:t>
            </w:r>
            <w:r w:rsidR="00A67AF0">
              <w:t>arbon</w:t>
            </w:r>
            <w:r w:rsidR="005C6408">
              <w:t xml:space="preserve"> H</w:t>
            </w:r>
            <w:r w:rsidR="00A67AF0">
              <w:t>ouse</w:t>
            </w:r>
          </w:p>
          <w:p w14:paraId="183594EC" w14:textId="0B6B04C3" w:rsidR="003D1298" w:rsidRPr="00855FF4" w:rsidRDefault="003D1298" w:rsidP="003D1298">
            <w:r w:rsidRPr="00855FF4">
              <w:t>Community engagement partner:</w:t>
            </w:r>
            <w:r>
              <w:t xml:space="preserve"> </w:t>
            </w:r>
            <w:r w:rsidR="00EE3489">
              <w:t>Balsall Heath Residents</w:t>
            </w:r>
          </w:p>
          <w:p w14:paraId="3EB917F9" w14:textId="77777777" w:rsidR="003D1298" w:rsidRDefault="003D1298" w:rsidP="75C22218">
            <w:pPr>
              <w:rPr>
                <w:b/>
                <w:bCs/>
                <w:i/>
                <w:iCs/>
              </w:rPr>
            </w:pPr>
          </w:p>
          <w:p w14:paraId="39E016E0" w14:textId="77777777" w:rsidR="003D1298" w:rsidRDefault="003D1298" w:rsidP="003D1298">
            <w:pPr>
              <w:rPr>
                <w:b/>
                <w:bCs/>
                <w:i/>
                <w:iCs/>
              </w:rPr>
            </w:pPr>
            <w:r>
              <w:rPr>
                <w:b/>
                <w:bCs/>
                <w:i/>
                <w:iCs/>
              </w:rPr>
              <w:t>Objective</w:t>
            </w:r>
          </w:p>
          <w:p w14:paraId="3480AEB0" w14:textId="77777777" w:rsidR="00790B1C" w:rsidRDefault="00790B1C" w:rsidP="75C22218"/>
          <w:p w14:paraId="34385D39" w14:textId="5C07DB9B" w:rsidR="003D1298" w:rsidRPr="005C6408" w:rsidRDefault="00445564" w:rsidP="75C22218">
            <w:r>
              <w:t xml:space="preserve">To </w:t>
            </w:r>
            <w:r w:rsidR="00CF5C7C">
              <w:t xml:space="preserve">deliver neighbourhood regeneration </w:t>
            </w:r>
            <w:r w:rsidR="001F13CF">
              <w:t xml:space="preserve">measures across Balsall Heath, impacting </w:t>
            </w:r>
            <w:r w:rsidR="0039086C">
              <w:t xml:space="preserve">homes, </w:t>
            </w:r>
            <w:r w:rsidR="00427A5D">
              <w:t>transport,</w:t>
            </w:r>
            <w:r w:rsidR="0039086C">
              <w:t xml:space="preserve"> </w:t>
            </w:r>
            <w:r w:rsidR="0039086C">
              <w:lastRenderedPageBreak/>
              <w:t xml:space="preserve">and </w:t>
            </w:r>
            <w:r w:rsidR="00E325ED">
              <w:t>community spaces</w:t>
            </w:r>
            <w:r w:rsidR="00427A5D">
              <w:t>, that critically, leaves nobody behind.</w:t>
            </w:r>
          </w:p>
          <w:p w14:paraId="6CBAA561" w14:textId="77777777" w:rsidR="003D1298" w:rsidRDefault="003D1298" w:rsidP="75C22218">
            <w:pPr>
              <w:rPr>
                <w:b/>
                <w:bCs/>
                <w:i/>
                <w:iCs/>
              </w:rPr>
            </w:pPr>
          </w:p>
          <w:p w14:paraId="5FA92A52" w14:textId="77777777" w:rsidR="003D1298" w:rsidRDefault="003D1298" w:rsidP="003D1298">
            <w:pPr>
              <w:rPr>
                <w:b/>
                <w:bCs/>
                <w:i/>
                <w:iCs/>
              </w:rPr>
            </w:pPr>
            <w:r w:rsidRPr="007F5A70">
              <w:rPr>
                <w:b/>
                <w:bCs/>
                <w:i/>
                <w:iCs/>
              </w:rPr>
              <w:t>Approach to engagement</w:t>
            </w:r>
          </w:p>
          <w:p w14:paraId="1BB8D720" w14:textId="77777777" w:rsidR="003D1298" w:rsidRDefault="003D1298" w:rsidP="75C22218">
            <w:pPr>
              <w:rPr>
                <w:b/>
                <w:bCs/>
                <w:i/>
                <w:iCs/>
              </w:rPr>
            </w:pPr>
          </w:p>
          <w:p w14:paraId="411D5FF1" w14:textId="128E3B3D" w:rsidR="00B8360E" w:rsidRDefault="00A741B5" w:rsidP="75C22218">
            <w:r>
              <w:t>A Strong focus on the ‘hard graft’ around engagement and generating buy-in</w:t>
            </w:r>
            <w:r w:rsidR="00373608">
              <w:t xml:space="preserve">, by </w:t>
            </w:r>
            <w:r w:rsidR="005723BD">
              <w:t xml:space="preserve">being active and visible in the neighbourhood.  </w:t>
            </w:r>
            <w:r w:rsidR="00AE3E27">
              <w:t xml:space="preserve">This involves </w:t>
            </w:r>
            <w:r w:rsidR="00AE3E27">
              <w:rPr>
                <w:i/>
                <w:iCs/>
              </w:rPr>
              <w:t>lots</w:t>
            </w:r>
            <w:r w:rsidR="00AE3E27">
              <w:t xml:space="preserve"> of door-knocking, </w:t>
            </w:r>
            <w:r w:rsidR="008C779C">
              <w:t>gaining an understanding of the best ways to reach different people and different groups</w:t>
            </w:r>
            <w:r w:rsidR="00FD3CA9">
              <w:t xml:space="preserve">. </w:t>
            </w:r>
            <w:r w:rsidR="00297E7E">
              <w:t xml:space="preserve">Crucially, this is delivered by </w:t>
            </w:r>
            <w:r w:rsidR="00012500">
              <w:t xml:space="preserve">empowered </w:t>
            </w:r>
            <w:r w:rsidR="00297E7E">
              <w:t>Balsall Heath residents</w:t>
            </w:r>
            <w:r w:rsidR="00012500">
              <w:t>.</w:t>
            </w:r>
            <w:r w:rsidR="00997993">
              <w:t xml:space="preserve">  Key local stakeholders have been b</w:t>
            </w:r>
            <w:r w:rsidR="00176075">
              <w:t>r</w:t>
            </w:r>
            <w:r w:rsidR="00997993">
              <w:t>ough</w:t>
            </w:r>
            <w:r w:rsidR="00176075">
              <w:t>t</w:t>
            </w:r>
            <w:r w:rsidR="00997993">
              <w:t xml:space="preserve"> into the </w:t>
            </w:r>
            <w:r w:rsidR="00176075">
              <w:t xml:space="preserve">vision for Retrofit Balsall Heath, providing strong outreach into </w:t>
            </w:r>
            <w:r w:rsidR="00B8277F">
              <w:t>the</w:t>
            </w:r>
            <w:r w:rsidR="00E40B60">
              <w:t>ir</w:t>
            </w:r>
            <w:r w:rsidR="00B8277F">
              <w:t xml:space="preserve"> communit</w:t>
            </w:r>
            <w:r w:rsidR="00E40B60">
              <w:t>ies</w:t>
            </w:r>
            <w:r w:rsidR="00B8277F">
              <w:t>.</w:t>
            </w:r>
          </w:p>
          <w:p w14:paraId="1D065111" w14:textId="77777777" w:rsidR="00847040" w:rsidRDefault="00847040" w:rsidP="75C22218"/>
          <w:p w14:paraId="37E719D6" w14:textId="2A1055AC" w:rsidR="00847040" w:rsidRPr="005C6408" w:rsidRDefault="00950DD5" w:rsidP="75C22218">
            <w:r>
              <w:t>Rather</w:t>
            </w:r>
            <w:r w:rsidR="00847040">
              <w:t xml:space="preserve"> than setting up Retrofit Balsall Heath </w:t>
            </w:r>
            <w:r w:rsidR="00BD01E1">
              <w:t xml:space="preserve">to operate </w:t>
            </w:r>
            <w:r w:rsidR="00E136D4">
              <w:t>in isolation</w:t>
            </w:r>
            <w:r>
              <w:t xml:space="preserve">, the team have </w:t>
            </w:r>
            <w:r w:rsidR="004C75F7">
              <w:t xml:space="preserve">worked closely with existing organisations </w:t>
            </w:r>
            <w:r w:rsidR="0043435D">
              <w:t xml:space="preserve">to </w:t>
            </w:r>
            <w:r w:rsidR="00C8114D">
              <w:t>coordinate messagin</w:t>
            </w:r>
            <w:r w:rsidR="00E73EE5">
              <w:t>g</w:t>
            </w:r>
            <w:r w:rsidR="3E51D0D6">
              <w:t xml:space="preserve"> and </w:t>
            </w:r>
            <w:proofErr w:type="gramStart"/>
            <w:r w:rsidR="3E51D0D6">
              <w:t xml:space="preserve">supported </w:t>
            </w:r>
            <w:r w:rsidR="007B5543">
              <w:t xml:space="preserve"> upskilling</w:t>
            </w:r>
            <w:proofErr w:type="gramEnd"/>
            <w:r w:rsidR="007B5543">
              <w:t xml:space="preserve"> to </w:t>
            </w:r>
            <w:r w:rsidR="00F83064">
              <w:t xml:space="preserve">help advise on energy advice and retrofit </w:t>
            </w:r>
            <w:r w:rsidR="00B74C99">
              <w:t>pathways.</w:t>
            </w:r>
          </w:p>
          <w:p w14:paraId="7E149786" w14:textId="77777777" w:rsidR="00E40B60" w:rsidRDefault="00E40B60" w:rsidP="75C22218">
            <w:pPr>
              <w:rPr>
                <w:b/>
                <w:bCs/>
                <w:i/>
                <w:iCs/>
              </w:rPr>
            </w:pPr>
          </w:p>
          <w:p w14:paraId="330085C6" w14:textId="77777777" w:rsidR="003D1298" w:rsidRPr="007F3667" w:rsidRDefault="003D1298" w:rsidP="003D1298">
            <w:pPr>
              <w:rPr>
                <w:b/>
                <w:i/>
              </w:rPr>
            </w:pPr>
            <w:r w:rsidRPr="007F3667">
              <w:rPr>
                <w:b/>
                <w:i/>
              </w:rPr>
              <w:t>How NZN guidelines were applied</w:t>
            </w:r>
          </w:p>
          <w:p w14:paraId="1D315723" w14:textId="77777777" w:rsidR="003D1298" w:rsidRDefault="003D1298" w:rsidP="75C22218">
            <w:pPr>
              <w:rPr>
                <w:b/>
                <w:bCs/>
                <w:i/>
                <w:iCs/>
              </w:rPr>
            </w:pPr>
          </w:p>
          <w:p w14:paraId="076913A9" w14:textId="393D8DBC" w:rsidR="00356F3E" w:rsidRDefault="00277727" w:rsidP="000A1EEB">
            <w:pPr>
              <w:pStyle w:val="ListParagraph"/>
              <w:numPr>
                <w:ilvl w:val="0"/>
                <w:numId w:val="18"/>
              </w:numPr>
            </w:pPr>
            <w:r>
              <w:t>Gather a deep understanding of the existing community infrastr</w:t>
            </w:r>
            <w:r w:rsidR="006F410F">
              <w:t>ucture in Balsall Heath</w:t>
            </w:r>
            <w:r w:rsidR="00442DB5">
              <w:t>.</w:t>
            </w:r>
          </w:p>
          <w:p w14:paraId="7339EF5E" w14:textId="77777777" w:rsidR="00442DB5" w:rsidRDefault="00442DB5" w:rsidP="005C6408">
            <w:pPr>
              <w:pStyle w:val="ListParagraph"/>
            </w:pPr>
          </w:p>
          <w:p w14:paraId="54FB0874" w14:textId="15F351B3" w:rsidR="006F410F" w:rsidRDefault="009E0846" w:rsidP="000A1EEB">
            <w:pPr>
              <w:pStyle w:val="ListParagraph"/>
              <w:numPr>
                <w:ilvl w:val="0"/>
                <w:numId w:val="18"/>
              </w:numPr>
            </w:pPr>
            <w:r>
              <w:t xml:space="preserve">Investigate </w:t>
            </w:r>
            <w:r w:rsidR="006E7B1E">
              <w:t>prior engagement activities</w:t>
            </w:r>
            <w:r w:rsidR="00D337E3">
              <w:t>/ communications around retrofit</w:t>
            </w:r>
            <w:r w:rsidR="006E7B1E">
              <w:t xml:space="preserve"> that have </w:t>
            </w:r>
            <w:r w:rsidR="00D45A81">
              <w:lastRenderedPageBreak/>
              <w:t>occurred in the neighbourhood.</w:t>
            </w:r>
          </w:p>
          <w:p w14:paraId="68BFD4EC" w14:textId="77777777" w:rsidR="00442DB5" w:rsidRDefault="00442DB5" w:rsidP="005C6408"/>
          <w:p w14:paraId="23C97EAB" w14:textId="7C69E010" w:rsidR="00B33A20" w:rsidRPr="005C6408" w:rsidRDefault="00510A5C" w:rsidP="005C6408">
            <w:pPr>
              <w:pStyle w:val="ListParagraph"/>
              <w:numPr>
                <w:ilvl w:val="0"/>
                <w:numId w:val="18"/>
              </w:numPr>
            </w:pPr>
            <w:r>
              <w:t>Working in the open</w:t>
            </w:r>
            <w:r w:rsidR="00647E83">
              <w:t xml:space="preserve"> – Retrofit Balsall Heath have been </w:t>
            </w:r>
            <w:r w:rsidR="00BB5AF7">
              <w:t>very open in</w:t>
            </w:r>
            <w:r w:rsidR="00AE0FE0">
              <w:t xml:space="preserve"> sharing</w:t>
            </w:r>
            <w:r w:rsidR="00BB5AF7">
              <w:t xml:space="preserve"> the</w:t>
            </w:r>
            <w:r w:rsidR="00A0623A">
              <w:t>ir approach to engagement.</w:t>
            </w:r>
          </w:p>
          <w:p w14:paraId="6EFE967D" w14:textId="77777777" w:rsidR="00356F3E" w:rsidRDefault="00356F3E" w:rsidP="75C22218">
            <w:pPr>
              <w:rPr>
                <w:b/>
                <w:bCs/>
                <w:i/>
                <w:iCs/>
              </w:rPr>
            </w:pPr>
          </w:p>
          <w:p w14:paraId="3E98A4E1" w14:textId="77777777" w:rsidR="00FE0925" w:rsidRPr="007F3667" w:rsidRDefault="00FE0925" w:rsidP="00FE0925">
            <w:pPr>
              <w:rPr>
                <w:b/>
                <w:i/>
              </w:rPr>
            </w:pPr>
            <w:r w:rsidRPr="007F3667">
              <w:rPr>
                <w:b/>
                <w:i/>
              </w:rPr>
              <w:t>Outcomes</w:t>
            </w:r>
            <w:r>
              <w:rPr>
                <w:b/>
                <w:i/>
              </w:rPr>
              <w:t xml:space="preserve">, findings and lessons </w:t>
            </w:r>
            <w:proofErr w:type="gramStart"/>
            <w:r>
              <w:rPr>
                <w:b/>
                <w:i/>
              </w:rPr>
              <w:t>learnt</w:t>
            </w:r>
            <w:proofErr w:type="gramEnd"/>
          </w:p>
          <w:p w14:paraId="4C16CD1D" w14:textId="77777777" w:rsidR="003D1298" w:rsidRDefault="003D1298" w:rsidP="75C22218">
            <w:pPr>
              <w:rPr>
                <w:b/>
                <w:bCs/>
                <w:i/>
                <w:iCs/>
              </w:rPr>
            </w:pPr>
          </w:p>
          <w:p w14:paraId="4728B50A" w14:textId="77777777" w:rsidR="00742363" w:rsidRDefault="005B6786" w:rsidP="009F7FF7">
            <w:pPr>
              <w:pStyle w:val="ListParagraph"/>
              <w:numPr>
                <w:ilvl w:val="0"/>
                <w:numId w:val="19"/>
              </w:numPr>
            </w:pPr>
            <w:r>
              <w:t xml:space="preserve">‘Open houses’ </w:t>
            </w:r>
            <w:r w:rsidR="00377D4A">
              <w:t xml:space="preserve">during and after measures are installed </w:t>
            </w:r>
            <w:r>
              <w:t xml:space="preserve">to </w:t>
            </w:r>
            <w:r w:rsidR="002E0E49">
              <w:t>show residents what a</w:t>
            </w:r>
            <w:r w:rsidR="00CF004F">
              <w:t xml:space="preserve"> </w:t>
            </w:r>
            <w:r w:rsidR="002E0E49">
              <w:t>retrofit journey l</w:t>
            </w:r>
            <w:r w:rsidR="00CF004F">
              <w:t>ooks lik</w:t>
            </w:r>
            <w:r w:rsidR="008C5FD3">
              <w:t>e</w:t>
            </w:r>
            <w:r w:rsidR="00B65C01">
              <w:t>.</w:t>
            </w:r>
          </w:p>
          <w:p w14:paraId="6AD5CB47" w14:textId="77777777" w:rsidR="003A659F" w:rsidRDefault="003A659F" w:rsidP="005C6408">
            <w:pPr>
              <w:pStyle w:val="ListParagraph"/>
            </w:pPr>
          </w:p>
          <w:p w14:paraId="52E60437" w14:textId="77777777" w:rsidR="003A659F" w:rsidRDefault="003A659F" w:rsidP="009F7FF7">
            <w:pPr>
              <w:pStyle w:val="ListParagraph"/>
              <w:numPr>
                <w:ilvl w:val="0"/>
                <w:numId w:val="19"/>
              </w:numPr>
            </w:pPr>
            <w:r>
              <w:t xml:space="preserve">Successfully </w:t>
            </w:r>
            <w:r w:rsidR="001F4ECB">
              <w:t xml:space="preserve">onboarded </w:t>
            </w:r>
            <w:r w:rsidR="0080366E">
              <w:t>~1500 homes in</w:t>
            </w:r>
            <w:r w:rsidR="00CC1ED6">
              <w:t xml:space="preserve"> the </w:t>
            </w:r>
            <w:r w:rsidR="007653A5">
              <w:t xml:space="preserve">neighbourhood, with upwards of </w:t>
            </w:r>
            <w:r w:rsidR="0079634D">
              <w:t>95%</w:t>
            </w:r>
            <w:r w:rsidR="00A44CF4">
              <w:t xml:space="preserve"> coverage in some streets</w:t>
            </w:r>
            <w:r w:rsidR="00473C4E">
              <w:t>.</w:t>
            </w:r>
          </w:p>
          <w:p w14:paraId="5D3C91F6" w14:textId="77777777" w:rsidR="00473C4E" w:rsidRDefault="00473C4E" w:rsidP="005C6408">
            <w:pPr>
              <w:pStyle w:val="ListParagraph"/>
            </w:pPr>
          </w:p>
          <w:p w14:paraId="6F636A0C" w14:textId="469CA95D" w:rsidR="00473C4E" w:rsidRDefault="00434C2F" w:rsidP="00473C4E">
            <w:pPr>
              <w:pStyle w:val="ListParagraph"/>
              <w:numPr>
                <w:ilvl w:val="0"/>
                <w:numId w:val="19"/>
              </w:numPr>
            </w:pPr>
            <w:r>
              <w:t>Supported reside</w:t>
            </w:r>
            <w:r w:rsidR="0064204D">
              <w:t xml:space="preserve">nts in accessing </w:t>
            </w:r>
            <w:r w:rsidR="00C613F9">
              <w:t xml:space="preserve">retrofit funding for </w:t>
            </w:r>
            <w:r w:rsidR="00B0405B">
              <w:t>~700 homes</w:t>
            </w:r>
            <w:r w:rsidR="002B404D">
              <w:t>.</w:t>
            </w:r>
          </w:p>
          <w:p w14:paraId="53E83A08" w14:textId="77777777" w:rsidR="002663B6" w:rsidRDefault="002663B6" w:rsidP="005C6408">
            <w:pPr>
              <w:pStyle w:val="ListParagraph"/>
            </w:pPr>
          </w:p>
          <w:p w14:paraId="6BCA3A21" w14:textId="77777777" w:rsidR="002663B6" w:rsidRDefault="002663B6" w:rsidP="00473C4E">
            <w:pPr>
              <w:pStyle w:val="ListParagraph"/>
              <w:numPr>
                <w:ilvl w:val="0"/>
                <w:numId w:val="19"/>
              </w:numPr>
            </w:pPr>
            <w:r>
              <w:t>Negotiated better terms</w:t>
            </w:r>
            <w:r w:rsidR="00337092">
              <w:t xml:space="preserve"> for funding,</w:t>
            </w:r>
            <w:r>
              <w:t xml:space="preserve"> </w:t>
            </w:r>
            <w:r w:rsidR="00FC0183">
              <w:t xml:space="preserve">that are more </w:t>
            </w:r>
            <w:r w:rsidR="00337092">
              <w:t>aligned with</w:t>
            </w:r>
            <w:r w:rsidR="00FC0183">
              <w:t xml:space="preserve"> the </w:t>
            </w:r>
            <w:r w:rsidR="00337092">
              <w:t xml:space="preserve">needs </w:t>
            </w:r>
            <w:r w:rsidR="00054AAB">
              <w:t xml:space="preserve">of </w:t>
            </w:r>
            <w:r w:rsidR="00C056C3">
              <w:t>residents</w:t>
            </w:r>
            <w:r w:rsidR="009F1895">
              <w:t>.</w:t>
            </w:r>
            <w:r w:rsidR="00054AAB">
              <w:t xml:space="preserve"> </w:t>
            </w:r>
            <w:r w:rsidR="009F1895">
              <w:t>S</w:t>
            </w:r>
            <w:r w:rsidR="00A363B8">
              <w:t xml:space="preserve">temming from the </w:t>
            </w:r>
            <w:r w:rsidR="008A1738">
              <w:t>great understanding of local needs, developed through engagement.</w:t>
            </w:r>
          </w:p>
          <w:p w14:paraId="36F54CA7" w14:textId="77777777" w:rsidR="00AE0FE0" w:rsidRDefault="00AE0FE0" w:rsidP="005C6408">
            <w:pPr>
              <w:pStyle w:val="ListParagraph"/>
            </w:pPr>
          </w:p>
          <w:p w14:paraId="0B5838C3" w14:textId="77777777" w:rsidR="00AE0FE0" w:rsidRDefault="00C51F7D" w:rsidP="00473C4E">
            <w:pPr>
              <w:pStyle w:val="ListParagraph"/>
              <w:numPr>
                <w:ilvl w:val="0"/>
                <w:numId w:val="19"/>
              </w:numPr>
            </w:pPr>
            <w:r>
              <w:t>Generated</w:t>
            </w:r>
            <w:r w:rsidR="00A55D18">
              <w:t xml:space="preserve"> sufficient buy-in f</w:t>
            </w:r>
            <w:r>
              <w:t>o</w:t>
            </w:r>
            <w:r w:rsidR="00A55D18">
              <w:t xml:space="preserve">r engagement to continue </w:t>
            </w:r>
            <w:r w:rsidR="00A55D18">
              <w:lastRenderedPageBreak/>
              <w:t>organicall</w:t>
            </w:r>
            <w:r>
              <w:t>y</w:t>
            </w:r>
            <w:r w:rsidR="00A55D18">
              <w:t xml:space="preserve"> </w:t>
            </w:r>
            <w:r>
              <w:t>(</w:t>
            </w:r>
            <w:r w:rsidR="00A55D18">
              <w:t>Peer-to-peer engagement</w:t>
            </w:r>
            <w:r>
              <w:t>).</w:t>
            </w:r>
          </w:p>
          <w:p w14:paraId="52864C8F" w14:textId="77777777" w:rsidR="00440FB1" w:rsidRDefault="00440FB1" w:rsidP="005C6408">
            <w:pPr>
              <w:pStyle w:val="ListParagraph"/>
            </w:pPr>
          </w:p>
          <w:p w14:paraId="32DBFEB4" w14:textId="7FB7A5AF" w:rsidR="00440FB1" w:rsidRDefault="0092724B" w:rsidP="00473C4E">
            <w:pPr>
              <w:pStyle w:val="ListParagraph"/>
              <w:numPr>
                <w:ilvl w:val="0"/>
                <w:numId w:val="19"/>
              </w:numPr>
            </w:pPr>
            <w:r>
              <w:t xml:space="preserve">Successful delivery has </w:t>
            </w:r>
            <w:r w:rsidR="00B4500F">
              <w:t>provided lots of positive stories</w:t>
            </w:r>
            <w:r w:rsidR="00422FE2">
              <w:t xml:space="preserve">.  </w:t>
            </w:r>
            <w:r w:rsidR="00FB211D">
              <w:t xml:space="preserve">Strong communications around these stories </w:t>
            </w:r>
            <w:proofErr w:type="gramStart"/>
            <w:r w:rsidR="00FB211D">
              <w:t>ha</w:t>
            </w:r>
            <w:r w:rsidR="6679D29A">
              <w:t>s</w:t>
            </w:r>
            <w:proofErr w:type="gramEnd"/>
            <w:r w:rsidR="00422FE2">
              <w:t xml:space="preserve"> </w:t>
            </w:r>
            <w:r w:rsidR="004A639B">
              <w:t xml:space="preserve">created greater </w:t>
            </w:r>
            <w:r w:rsidR="00DA32D3">
              <w:t>visibility of the programme</w:t>
            </w:r>
            <w:r w:rsidR="00D9668A">
              <w:t>.</w:t>
            </w:r>
          </w:p>
          <w:p w14:paraId="3CC70DEA" w14:textId="77777777" w:rsidR="009F0C70" w:rsidRDefault="009F0C70" w:rsidP="005C6408">
            <w:pPr>
              <w:pStyle w:val="ListParagraph"/>
            </w:pPr>
          </w:p>
          <w:p w14:paraId="07014AC3" w14:textId="435C375D" w:rsidR="009F0C70" w:rsidRPr="00DD203D" w:rsidRDefault="371863E9" w:rsidP="005C6408">
            <w:pPr>
              <w:pStyle w:val="ListParagraph"/>
              <w:numPr>
                <w:ilvl w:val="0"/>
                <w:numId w:val="19"/>
              </w:numPr>
            </w:pPr>
            <w:r>
              <w:t>Proactively raised</w:t>
            </w:r>
            <w:r w:rsidR="00592207">
              <w:t xml:space="preserve"> offers to the local council </w:t>
            </w:r>
            <w:r w:rsidR="00862259">
              <w:t xml:space="preserve">to expedite </w:t>
            </w:r>
            <w:r w:rsidR="006E4F94">
              <w:t xml:space="preserve">engagement </w:t>
            </w:r>
            <w:r w:rsidR="00061746">
              <w:t>a</w:t>
            </w:r>
            <w:r w:rsidR="006E4F94">
              <w:t xml:space="preserve">ctivities </w:t>
            </w:r>
            <w:r w:rsidR="00DB46B8">
              <w:t xml:space="preserve">to ensure </w:t>
            </w:r>
            <w:r w:rsidR="00B22D4D">
              <w:t xml:space="preserve">funding is </w:t>
            </w:r>
            <w:r w:rsidR="005A108A">
              <w:t xml:space="preserve">delivered </w:t>
            </w:r>
            <w:r w:rsidR="00EF0F54">
              <w:t>effectively in the neighbourhood</w:t>
            </w:r>
            <w:r w:rsidR="001C47FC">
              <w:t>.</w:t>
            </w:r>
          </w:p>
        </w:tc>
      </w:tr>
    </w:tbl>
    <w:p w14:paraId="55C4B25E" w14:textId="77777777" w:rsidR="00B36D9D" w:rsidRPr="00B36D9D" w:rsidRDefault="00B36D9D" w:rsidP="00B36D9D">
      <w:pPr>
        <w:rPr>
          <w:i/>
          <w:iCs/>
        </w:rPr>
      </w:pPr>
    </w:p>
    <w:sectPr w:rsidR="00B36D9D" w:rsidRPr="00B36D9D" w:rsidSect="00F36EFA">
      <w:headerReference w:type="default" r:id="rId19"/>
      <w:foot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3382" w14:textId="77777777" w:rsidR="0039701C" w:rsidRDefault="0039701C" w:rsidP="00A177EF">
      <w:pPr>
        <w:spacing w:after="0" w:line="240" w:lineRule="auto"/>
      </w:pPr>
      <w:r>
        <w:separator/>
      </w:r>
    </w:p>
  </w:endnote>
  <w:endnote w:type="continuationSeparator" w:id="0">
    <w:p w14:paraId="6113EB87" w14:textId="77777777" w:rsidR="0039701C" w:rsidRDefault="0039701C" w:rsidP="00A177EF">
      <w:pPr>
        <w:spacing w:after="0" w:line="240" w:lineRule="auto"/>
      </w:pPr>
      <w:r>
        <w:continuationSeparator/>
      </w:r>
    </w:p>
  </w:endnote>
  <w:endnote w:type="continuationNotice" w:id="1">
    <w:p w14:paraId="2383BD4C" w14:textId="77777777" w:rsidR="0039701C" w:rsidRDefault="00397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tblGrid>
    <w:tr w:rsidR="004C018B" w14:paraId="03AD09E0" w14:textId="77777777" w:rsidTr="392472AA">
      <w:trPr>
        <w:trHeight w:val="300"/>
      </w:trPr>
      <w:tc>
        <w:tcPr>
          <w:tcW w:w="5130" w:type="dxa"/>
        </w:tcPr>
        <w:p w14:paraId="092F61A1" w14:textId="7A302FCC" w:rsidR="004C018B" w:rsidRDefault="004C018B" w:rsidP="392472AA">
          <w:pPr>
            <w:pStyle w:val="Header"/>
            <w:jc w:val="center"/>
          </w:pPr>
        </w:p>
      </w:tc>
      <w:tc>
        <w:tcPr>
          <w:tcW w:w="5130" w:type="dxa"/>
        </w:tcPr>
        <w:p w14:paraId="4D302C11" w14:textId="7EAD2A19" w:rsidR="004C018B" w:rsidRDefault="004C018B" w:rsidP="392472AA">
          <w:pPr>
            <w:pStyle w:val="Header"/>
            <w:ind w:right="-115"/>
            <w:jc w:val="right"/>
          </w:pPr>
        </w:p>
      </w:tc>
    </w:tr>
  </w:tbl>
  <w:p w14:paraId="4F93FBD0" w14:textId="14EDB705" w:rsidR="00A177EF" w:rsidRDefault="00A1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CB1B" w14:textId="77777777" w:rsidR="0039701C" w:rsidRDefault="0039701C" w:rsidP="00A177EF">
      <w:pPr>
        <w:spacing w:after="0" w:line="240" w:lineRule="auto"/>
      </w:pPr>
      <w:r>
        <w:separator/>
      </w:r>
    </w:p>
  </w:footnote>
  <w:footnote w:type="continuationSeparator" w:id="0">
    <w:p w14:paraId="4CD04703" w14:textId="77777777" w:rsidR="0039701C" w:rsidRDefault="0039701C" w:rsidP="00A177EF">
      <w:pPr>
        <w:spacing w:after="0" w:line="240" w:lineRule="auto"/>
      </w:pPr>
      <w:r>
        <w:continuationSeparator/>
      </w:r>
    </w:p>
  </w:footnote>
  <w:footnote w:type="continuationNotice" w:id="1">
    <w:p w14:paraId="745FA138" w14:textId="77777777" w:rsidR="0039701C" w:rsidRDefault="00397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392472AA" w14:paraId="775EA5B7" w14:textId="77777777" w:rsidTr="392472AA">
      <w:trPr>
        <w:trHeight w:val="300"/>
      </w:trPr>
      <w:tc>
        <w:tcPr>
          <w:tcW w:w="5130" w:type="dxa"/>
        </w:tcPr>
        <w:p w14:paraId="280891A5" w14:textId="496A0A02" w:rsidR="392472AA" w:rsidRDefault="392472AA" w:rsidP="392472AA">
          <w:pPr>
            <w:pStyle w:val="Header"/>
            <w:ind w:left="-115"/>
          </w:pPr>
        </w:p>
      </w:tc>
      <w:tc>
        <w:tcPr>
          <w:tcW w:w="5130" w:type="dxa"/>
        </w:tcPr>
        <w:p w14:paraId="6F972951" w14:textId="27A0516B" w:rsidR="392472AA" w:rsidRDefault="392472AA" w:rsidP="392472AA">
          <w:pPr>
            <w:pStyle w:val="Header"/>
            <w:jc w:val="center"/>
          </w:pPr>
        </w:p>
      </w:tc>
      <w:tc>
        <w:tcPr>
          <w:tcW w:w="5130" w:type="dxa"/>
        </w:tcPr>
        <w:p w14:paraId="69B87127" w14:textId="314FF90B" w:rsidR="392472AA" w:rsidRDefault="392472AA" w:rsidP="392472AA">
          <w:pPr>
            <w:pStyle w:val="Header"/>
            <w:ind w:right="-115"/>
            <w:jc w:val="right"/>
          </w:pPr>
        </w:p>
      </w:tc>
    </w:tr>
  </w:tbl>
  <w:p w14:paraId="792FEBAD" w14:textId="5881D67F" w:rsidR="00A177EF" w:rsidRDefault="00A17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2F0"/>
    <w:multiLevelType w:val="hybridMultilevel"/>
    <w:tmpl w:val="09D6D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B0C4B"/>
    <w:multiLevelType w:val="hybridMultilevel"/>
    <w:tmpl w:val="7188E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54680"/>
    <w:multiLevelType w:val="hybridMultilevel"/>
    <w:tmpl w:val="36F6D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7022F"/>
    <w:multiLevelType w:val="hybridMultilevel"/>
    <w:tmpl w:val="FB2EB2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04846"/>
    <w:multiLevelType w:val="hybridMultilevel"/>
    <w:tmpl w:val="2110EAD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53DD6CA"/>
    <w:multiLevelType w:val="hybridMultilevel"/>
    <w:tmpl w:val="9E3C15D0"/>
    <w:lvl w:ilvl="0" w:tplc="550AF678">
      <w:start w:val="1"/>
      <w:numFmt w:val="bullet"/>
      <w:lvlText w:val="-"/>
      <w:lvlJc w:val="left"/>
      <w:pPr>
        <w:ind w:left="720" w:hanging="360"/>
      </w:pPr>
      <w:rPr>
        <w:rFonts w:ascii="Aptos" w:hAnsi="Aptos" w:hint="default"/>
      </w:rPr>
    </w:lvl>
    <w:lvl w:ilvl="1" w:tplc="11508E38">
      <w:start w:val="1"/>
      <w:numFmt w:val="bullet"/>
      <w:lvlText w:val="o"/>
      <w:lvlJc w:val="left"/>
      <w:pPr>
        <w:ind w:left="1440" w:hanging="360"/>
      </w:pPr>
      <w:rPr>
        <w:rFonts w:ascii="Courier New" w:hAnsi="Courier New" w:hint="default"/>
      </w:rPr>
    </w:lvl>
    <w:lvl w:ilvl="2" w:tplc="A0B60366">
      <w:start w:val="1"/>
      <w:numFmt w:val="bullet"/>
      <w:lvlText w:val=""/>
      <w:lvlJc w:val="left"/>
      <w:pPr>
        <w:ind w:left="2160" w:hanging="360"/>
      </w:pPr>
      <w:rPr>
        <w:rFonts w:ascii="Wingdings" w:hAnsi="Wingdings" w:hint="default"/>
      </w:rPr>
    </w:lvl>
    <w:lvl w:ilvl="3" w:tplc="B214538E">
      <w:start w:val="1"/>
      <w:numFmt w:val="bullet"/>
      <w:lvlText w:val=""/>
      <w:lvlJc w:val="left"/>
      <w:pPr>
        <w:ind w:left="2880" w:hanging="360"/>
      </w:pPr>
      <w:rPr>
        <w:rFonts w:ascii="Symbol" w:hAnsi="Symbol" w:hint="default"/>
      </w:rPr>
    </w:lvl>
    <w:lvl w:ilvl="4" w:tplc="D7D80016">
      <w:start w:val="1"/>
      <w:numFmt w:val="bullet"/>
      <w:lvlText w:val="o"/>
      <w:lvlJc w:val="left"/>
      <w:pPr>
        <w:ind w:left="3600" w:hanging="360"/>
      </w:pPr>
      <w:rPr>
        <w:rFonts w:ascii="Courier New" w:hAnsi="Courier New" w:hint="default"/>
      </w:rPr>
    </w:lvl>
    <w:lvl w:ilvl="5" w:tplc="BA6A265C">
      <w:start w:val="1"/>
      <w:numFmt w:val="bullet"/>
      <w:lvlText w:val=""/>
      <w:lvlJc w:val="left"/>
      <w:pPr>
        <w:ind w:left="4320" w:hanging="360"/>
      </w:pPr>
      <w:rPr>
        <w:rFonts w:ascii="Wingdings" w:hAnsi="Wingdings" w:hint="default"/>
      </w:rPr>
    </w:lvl>
    <w:lvl w:ilvl="6" w:tplc="FDC079B4">
      <w:start w:val="1"/>
      <w:numFmt w:val="bullet"/>
      <w:lvlText w:val=""/>
      <w:lvlJc w:val="left"/>
      <w:pPr>
        <w:ind w:left="5040" w:hanging="360"/>
      </w:pPr>
      <w:rPr>
        <w:rFonts w:ascii="Symbol" w:hAnsi="Symbol" w:hint="default"/>
      </w:rPr>
    </w:lvl>
    <w:lvl w:ilvl="7" w:tplc="802EFD8C">
      <w:start w:val="1"/>
      <w:numFmt w:val="bullet"/>
      <w:lvlText w:val="o"/>
      <w:lvlJc w:val="left"/>
      <w:pPr>
        <w:ind w:left="5760" w:hanging="360"/>
      </w:pPr>
      <w:rPr>
        <w:rFonts w:ascii="Courier New" w:hAnsi="Courier New" w:hint="default"/>
      </w:rPr>
    </w:lvl>
    <w:lvl w:ilvl="8" w:tplc="6F2A2FD4">
      <w:start w:val="1"/>
      <w:numFmt w:val="bullet"/>
      <w:lvlText w:val=""/>
      <w:lvlJc w:val="left"/>
      <w:pPr>
        <w:ind w:left="6480" w:hanging="360"/>
      </w:pPr>
      <w:rPr>
        <w:rFonts w:ascii="Wingdings" w:hAnsi="Wingdings" w:hint="default"/>
      </w:rPr>
    </w:lvl>
  </w:abstractNum>
  <w:abstractNum w:abstractNumId="6" w15:restartNumberingAfterBreak="0">
    <w:nsid w:val="33840D56"/>
    <w:multiLevelType w:val="hybridMultilevel"/>
    <w:tmpl w:val="A11AF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152C8"/>
    <w:multiLevelType w:val="hybridMultilevel"/>
    <w:tmpl w:val="8334D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67B76"/>
    <w:multiLevelType w:val="hybridMultilevel"/>
    <w:tmpl w:val="2CF4D7F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006F7"/>
    <w:multiLevelType w:val="hybridMultilevel"/>
    <w:tmpl w:val="0898FB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236BE"/>
    <w:multiLevelType w:val="hybridMultilevel"/>
    <w:tmpl w:val="A8A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52B85"/>
    <w:multiLevelType w:val="hybridMultilevel"/>
    <w:tmpl w:val="8B5E2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C71E2"/>
    <w:multiLevelType w:val="hybridMultilevel"/>
    <w:tmpl w:val="20581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382B45"/>
    <w:multiLevelType w:val="hybridMultilevel"/>
    <w:tmpl w:val="4B5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4484A"/>
    <w:multiLevelType w:val="hybridMultilevel"/>
    <w:tmpl w:val="169C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344F8"/>
    <w:multiLevelType w:val="hybridMultilevel"/>
    <w:tmpl w:val="D602C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873088"/>
    <w:multiLevelType w:val="hybridMultilevel"/>
    <w:tmpl w:val="92008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305895"/>
    <w:multiLevelType w:val="hybridMultilevel"/>
    <w:tmpl w:val="669C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741FC"/>
    <w:multiLevelType w:val="hybridMultilevel"/>
    <w:tmpl w:val="3502E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4792997">
    <w:abstractNumId w:val="5"/>
  </w:num>
  <w:num w:numId="2" w16cid:durableId="570232027">
    <w:abstractNumId w:val="13"/>
  </w:num>
  <w:num w:numId="3" w16cid:durableId="213664176">
    <w:abstractNumId w:val="11"/>
  </w:num>
  <w:num w:numId="4" w16cid:durableId="1961296481">
    <w:abstractNumId w:val="17"/>
  </w:num>
  <w:num w:numId="5" w16cid:durableId="1570188978">
    <w:abstractNumId w:val="4"/>
  </w:num>
  <w:num w:numId="6" w16cid:durableId="1081025315">
    <w:abstractNumId w:val="7"/>
  </w:num>
  <w:num w:numId="7" w16cid:durableId="611784446">
    <w:abstractNumId w:val="12"/>
  </w:num>
  <w:num w:numId="8" w16cid:durableId="1155534753">
    <w:abstractNumId w:val="14"/>
  </w:num>
  <w:num w:numId="9" w16cid:durableId="1334455972">
    <w:abstractNumId w:val="1"/>
  </w:num>
  <w:num w:numId="10" w16cid:durableId="1294556194">
    <w:abstractNumId w:val="10"/>
  </w:num>
  <w:num w:numId="11" w16cid:durableId="978343744">
    <w:abstractNumId w:val="18"/>
  </w:num>
  <w:num w:numId="12" w16cid:durableId="1376735943">
    <w:abstractNumId w:val="6"/>
  </w:num>
  <w:num w:numId="13" w16cid:durableId="278341142">
    <w:abstractNumId w:val="8"/>
  </w:num>
  <w:num w:numId="14" w16cid:durableId="413430761">
    <w:abstractNumId w:val="0"/>
  </w:num>
  <w:num w:numId="15" w16cid:durableId="134179602">
    <w:abstractNumId w:val="15"/>
  </w:num>
  <w:num w:numId="16" w16cid:durableId="151801203">
    <w:abstractNumId w:val="9"/>
  </w:num>
  <w:num w:numId="17" w16cid:durableId="231543226">
    <w:abstractNumId w:val="16"/>
  </w:num>
  <w:num w:numId="18" w16cid:durableId="86271516">
    <w:abstractNumId w:val="3"/>
  </w:num>
  <w:num w:numId="19" w16cid:durableId="136304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98"/>
    <w:rsid w:val="00000382"/>
    <w:rsid w:val="00001C51"/>
    <w:rsid w:val="00001F02"/>
    <w:rsid w:val="00003F3B"/>
    <w:rsid w:val="00012500"/>
    <w:rsid w:val="0001272A"/>
    <w:rsid w:val="00014E9F"/>
    <w:rsid w:val="0001615D"/>
    <w:rsid w:val="00022B88"/>
    <w:rsid w:val="00026948"/>
    <w:rsid w:val="000320C2"/>
    <w:rsid w:val="0003360D"/>
    <w:rsid w:val="00035CD4"/>
    <w:rsid w:val="00036659"/>
    <w:rsid w:val="00036989"/>
    <w:rsid w:val="000375B2"/>
    <w:rsid w:val="000402DC"/>
    <w:rsid w:val="00047128"/>
    <w:rsid w:val="00052F5A"/>
    <w:rsid w:val="000543EA"/>
    <w:rsid w:val="00054AAB"/>
    <w:rsid w:val="00056569"/>
    <w:rsid w:val="00061746"/>
    <w:rsid w:val="00062147"/>
    <w:rsid w:val="00066622"/>
    <w:rsid w:val="000732B4"/>
    <w:rsid w:val="00074B27"/>
    <w:rsid w:val="00076BB6"/>
    <w:rsid w:val="00083A84"/>
    <w:rsid w:val="00084660"/>
    <w:rsid w:val="00085FE3"/>
    <w:rsid w:val="0008654F"/>
    <w:rsid w:val="000955EC"/>
    <w:rsid w:val="00095F67"/>
    <w:rsid w:val="000974CA"/>
    <w:rsid w:val="000A1EEB"/>
    <w:rsid w:val="000A4AC5"/>
    <w:rsid w:val="000A5C15"/>
    <w:rsid w:val="000A6540"/>
    <w:rsid w:val="000B40A3"/>
    <w:rsid w:val="000B520D"/>
    <w:rsid w:val="000C2E5B"/>
    <w:rsid w:val="000C4032"/>
    <w:rsid w:val="000C4F3D"/>
    <w:rsid w:val="000C7124"/>
    <w:rsid w:val="000D3605"/>
    <w:rsid w:val="000D47A7"/>
    <w:rsid w:val="000D6F96"/>
    <w:rsid w:val="000D7E29"/>
    <w:rsid w:val="000E05B3"/>
    <w:rsid w:val="000E1F33"/>
    <w:rsid w:val="000E3A60"/>
    <w:rsid w:val="000E58AD"/>
    <w:rsid w:val="000E751A"/>
    <w:rsid w:val="000F0DD0"/>
    <w:rsid w:val="000F1473"/>
    <w:rsid w:val="000F715B"/>
    <w:rsid w:val="00107079"/>
    <w:rsid w:val="00107396"/>
    <w:rsid w:val="0010796A"/>
    <w:rsid w:val="00107E82"/>
    <w:rsid w:val="0011200F"/>
    <w:rsid w:val="00113716"/>
    <w:rsid w:val="00115D1D"/>
    <w:rsid w:val="001171E3"/>
    <w:rsid w:val="00120391"/>
    <w:rsid w:val="001228AC"/>
    <w:rsid w:val="00123E9C"/>
    <w:rsid w:val="00124BD8"/>
    <w:rsid w:val="00124D10"/>
    <w:rsid w:val="00125892"/>
    <w:rsid w:val="00125CB5"/>
    <w:rsid w:val="001265C4"/>
    <w:rsid w:val="00135F7B"/>
    <w:rsid w:val="00135FF3"/>
    <w:rsid w:val="00137FB2"/>
    <w:rsid w:val="0014598B"/>
    <w:rsid w:val="0015198B"/>
    <w:rsid w:val="00157DBE"/>
    <w:rsid w:val="001629F8"/>
    <w:rsid w:val="001676EF"/>
    <w:rsid w:val="0017290A"/>
    <w:rsid w:val="00173BB7"/>
    <w:rsid w:val="001742E2"/>
    <w:rsid w:val="001755A7"/>
    <w:rsid w:val="00176075"/>
    <w:rsid w:val="00176FDD"/>
    <w:rsid w:val="001803D8"/>
    <w:rsid w:val="0018396C"/>
    <w:rsid w:val="00183FC6"/>
    <w:rsid w:val="001852B1"/>
    <w:rsid w:val="001858C5"/>
    <w:rsid w:val="001858E0"/>
    <w:rsid w:val="00185B10"/>
    <w:rsid w:val="001877FD"/>
    <w:rsid w:val="00190C75"/>
    <w:rsid w:val="00194907"/>
    <w:rsid w:val="00194F4C"/>
    <w:rsid w:val="00195A3D"/>
    <w:rsid w:val="00197A27"/>
    <w:rsid w:val="001A008A"/>
    <w:rsid w:val="001A1E32"/>
    <w:rsid w:val="001A2951"/>
    <w:rsid w:val="001A599B"/>
    <w:rsid w:val="001A6D66"/>
    <w:rsid w:val="001A7846"/>
    <w:rsid w:val="001A7A9B"/>
    <w:rsid w:val="001B0E73"/>
    <w:rsid w:val="001B1B35"/>
    <w:rsid w:val="001B293C"/>
    <w:rsid w:val="001B310C"/>
    <w:rsid w:val="001B3963"/>
    <w:rsid w:val="001C26BA"/>
    <w:rsid w:val="001C39E5"/>
    <w:rsid w:val="001C47FC"/>
    <w:rsid w:val="001C75DA"/>
    <w:rsid w:val="001D32FE"/>
    <w:rsid w:val="001D3E1E"/>
    <w:rsid w:val="001E24C9"/>
    <w:rsid w:val="001E6C88"/>
    <w:rsid w:val="001F13CF"/>
    <w:rsid w:val="001F214B"/>
    <w:rsid w:val="001F34A2"/>
    <w:rsid w:val="001F4ECB"/>
    <w:rsid w:val="001F61A0"/>
    <w:rsid w:val="00201604"/>
    <w:rsid w:val="00202BAB"/>
    <w:rsid w:val="002042BB"/>
    <w:rsid w:val="00206A3C"/>
    <w:rsid w:val="00207A5D"/>
    <w:rsid w:val="002113B5"/>
    <w:rsid w:val="00211792"/>
    <w:rsid w:val="002146A5"/>
    <w:rsid w:val="00216FC2"/>
    <w:rsid w:val="00220BF3"/>
    <w:rsid w:val="0022114B"/>
    <w:rsid w:val="002212B2"/>
    <w:rsid w:val="00221552"/>
    <w:rsid w:val="0022403C"/>
    <w:rsid w:val="00224F7C"/>
    <w:rsid w:val="002255D8"/>
    <w:rsid w:val="00231C6F"/>
    <w:rsid w:val="00232E8F"/>
    <w:rsid w:val="002342DA"/>
    <w:rsid w:val="002344EB"/>
    <w:rsid w:val="002346F2"/>
    <w:rsid w:val="00234C63"/>
    <w:rsid w:val="0023620D"/>
    <w:rsid w:val="002404B5"/>
    <w:rsid w:val="00240C63"/>
    <w:rsid w:val="002410F2"/>
    <w:rsid w:val="002426AA"/>
    <w:rsid w:val="00244314"/>
    <w:rsid w:val="002456A2"/>
    <w:rsid w:val="00257A51"/>
    <w:rsid w:val="00264A25"/>
    <w:rsid w:val="002663B6"/>
    <w:rsid w:val="00270229"/>
    <w:rsid w:val="002745BE"/>
    <w:rsid w:val="002753C3"/>
    <w:rsid w:val="00277333"/>
    <w:rsid w:val="00277727"/>
    <w:rsid w:val="0028254B"/>
    <w:rsid w:val="00287DB9"/>
    <w:rsid w:val="0029480B"/>
    <w:rsid w:val="00294EAE"/>
    <w:rsid w:val="00297949"/>
    <w:rsid w:val="00297E7E"/>
    <w:rsid w:val="002A0EDB"/>
    <w:rsid w:val="002A135D"/>
    <w:rsid w:val="002A3C64"/>
    <w:rsid w:val="002A3F25"/>
    <w:rsid w:val="002B0E0C"/>
    <w:rsid w:val="002B1B21"/>
    <w:rsid w:val="002B3EEA"/>
    <w:rsid w:val="002B404D"/>
    <w:rsid w:val="002B5F60"/>
    <w:rsid w:val="002B694B"/>
    <w:rsid w:val="002B6C86"/>
    <w:rsid w:val="002C0F96"/>
    <w:rsid w:val="002C1386"/>
    <w:rsid w:val="002C1CDA"/>
    <w:rsid w:val="002C1F4C"/>
    <w:rsid w:val="002C2A1E"/>
    <w:rsid w:val="002C39B2"/>
    <w:rsid w:val="002C7268"/>
    <w:rsid w:val="002C752E"/>
    <w:rsid w:val="002D133D"/>
    <w:rsid w:val="002D2B7A"/>
    <w:rsid w:val="002D51C5"/>
    <w:rsid w:val="002D5413"/>
    <w:rsid w:val="002D6354"/>
    <w:rsid w:val="002D6D9C"/>
    <w:rsid w:val="002E0E49"/>
    <w:rsid w:val="002E1DDA"/>
    <w:rsid w:val="002E31A5"/>
    <w:rsid w:val="002E49F2"/>
    <w:rsid w:val="002F0536"/>
    <w:rsid w:val="002F317B"/>
    <w:rsid w:val="002F5EF5"/>
    <w:rsid w:val="00300E38"/>
    <w:rsid w:val="00303859"/>
    <w:rsid w:val="00311084"/>
    <w:rsid w:val="00314DA1"/>
    <w:rsid w:val="00315984"/>
    <w:rsid w:val="00315F69"/>
    <w:rsid w:val="00316CA8"/>
    <w:rsid w:val="00323592"/>
    <w:rsid w:val="00323AB8"/>
    <w:rsid w:val="003313E9"/>
    <w:rsid w:val="003313EF"/>
    <w:rsid w:val="003313F5"/>
    <w:rsid w:val="00337092"/>
    <w:rsid w:val="003404D7"/>
    <w:rsid w:val="00342651"/>
    <w:rsid w:val="003428DB"/>
    <w:rsid w:val="00350F98"/>
    <w:rsid w:val="00352EFC"/>
    <w:rsid w:val="0035345B"/>
    <w:rsid w:val="003564AC"/>
    <w:rsid w:val="00356F3E"/>
    <w:rsid w:val="003677D6"/>
    <w:rsid w:val="00373608"/>
    <w:rsid w:val="00373730"/>
    <w:rsid w:val="0037478D"/>
    <w:rsid w:val="00376268"/>
    <w:rsid w:val="003769DA"/>
    <w:rsid w:val="00377D4A"/>
    <w:rsid w:val="00383AF9"/>
    <w:rsid w:val="003857DA"/>
    <w:rsid w:val="00386141"/>
    <w:rsid w:val="00387D68"/>
    <w:rsid w:val="00390307"/>
    <w:rsid w:val="0039086C"/>
    <w:rsid w:val="00390EA9"/>
    <w:rsid w:val="00392D5B"/>
    <w:rsid w:val="0039393F"/>
    <w:rsid w:val="0039701C"/>
    <w:rsid w:val="003A1830"/>
    <w:rsid w:val="003A500F"/>
    <w:rsid w:val="003A563A"/>
    <w:rsid w:val="003A6077"/>
    <w:rsid w:val="003A6555"/>
    <w:rsid w:val="003A659F"/>
    <w:rsid w:val="003B464F"/>
    <w:rsid w:val="003B7E1B"/>
    <w:rsid w:val="003C6744"/>
    <w:rsid w:val="003C757D"/>
    <w:rsid w:val="003D0535"/>
    <w:rsid w:val="003D1298"/>
    <w:rsid w:val="003E2004"/>
    <w:rsid w:val="003E266C"/>
    <w:rsid w:val="003E4206"/>
    <w:rsid w:val="003E6A9C"/>
    <w:rsid w:val="003F20F6"/>
    <w:rsid w:val="003F4F85"/>
    <w:rsid w:val="0040734E"/>
    <w:rsid w:val="00410230"/>
    <w:rsid w:val="00410496"/>
    <w:rsid w:val="00422FE2"/>
    <w:rsid w:val="004267CF"/>
    <w:rsid w:val="00427A5D"/>
    <w:rsid w:val="00431C2E"/>
    <w:rsid w:val="004332BD"/>
    <w:rsid w:val="00433E8F"/>
    <w:rsid w:val="0043435D"/>
    <w:rsid w:val="00434C2F"/>
    <w:rsid w:val="00440FB1"/>
    <w:rsid w:val="00442DB5"/>
    <w:rsid w:val="00443C07"/>
    <w:rsid w:val="00445564"/>
    <w:rsid w:val="00445D4D"/>
    <w:rsid w:val="004523D2"/>
    <w:rsid w:val="00460775"/>
    <w:rsid w:val="00462D12"/>
    <w:rsid w:val="004636FD"/>
    <w:rsid w:val="00465D80"/>
    <w:rsid w:val="00467CEB"/>
    <w:rsid w:val="00471D45"/>
    <w:rsid w:val="00473555"/>
    <w:rsid w:val="004736A6"/>
    <w:rsid w:val="00473C4E"/>
    <w:rsid w:val="004749A3"/>
    <w:rsid w:val="00476843"/>
    <w:rsid w:val="00482067"/>
    <w:rsid w:val="00490299"/>
    <w:rsid w:val="00494D1C"/>
    <w:rsid w:val="004961FE"/>
    <w:rsid w:val="00496B76"/>
    <w:rsid w:val="004A5625"/>
    <w:rsid w:val="004A639B"/>
    <w:rsid w:val="004A6470"/>
    <w:rsid w:val="004B1939"/>
    <w:rsid w:val="004B3142"/>
    <w:rsid w:val="004B57E4"/>
    <w:rsid w:val="004B6322"/>
    <w:rsid w:val="004C018B"/>
    <w:rsid w:val="004C2272"/>
    <w:rsid w:val="004C2385"/>
    <w:rsid w:val="004C5392"/>
    <w:rsid w:val="004C75F7"/>
    <w:rsid w:val="004C7DB7"/>
    <w:rsid w:val="004D0D26"/>
    <w:rsid w:val="004D3F60"/>
    <w:rsid w:val="004D6366"/>
    <w:rsid w:val="004E14DE"/>
    <w:rsid w:val="004E2124"/>
    <w:rsid w:val="004E329D"/>
    <w:rsid w:val="004E3A98"/>
    <w:rsid w:val="004E60D1"/>
    <w:rsid w:val="004E63FC"/>
    <w:rsid w:val="004F5762"/>
    <w:rsid w:val="004F75C2"/>
    <w:rsid w:val="00500444"/>
    <w:rsid w:val="00506152"/>
    <w:rsid w:val="00510A5C"/>
    <w:rsid w:val="0051663A"/>
    <w:rsid w:val="0052224C"/>
    <w:rsid w:val="00523B56"/>
    <w:rsid w:val="00524DFA"/>
    <w:rsid w:val="005257E3"/>
    <w:rsid w:val="00527372"/>
    <w:rsid w:val="00535849"/>
    <w:rsid w:val="00541D29"/>
    <w:rsid w:val="005421B6"/>
    <w:rsid w:val="0054241C"/>
    <w:rsid w:val="00543CD9"/>
    <w:rsid w:val="00544898"/>
    <w:rsid w:val="00550FEB"/>
    <w:rsid w:val="00556B07"/>
    <w:rsid w:val="005601A8"/>
    <w:rsid w:val="005645AA"/>
    <w:rsid w:val="00567636"/>
    <w:rsid w:val="00571F3B"/>
    <w:rsid w:val="00571FDF"/>
    <w:rsid w:val="005723BD"/>
    <w:rsid w:val="00572D35"/>
    <w:rsid w:val="0057415A"/>
    <w:rsid w:val="00576CC8"/>
    <w:rsid w:val="00582B93"/>
    <w:rsid w:val="0058340B"/>
    <w:rsid w:val="00585E8D"/>
    <w:rsid w:val="00585EB3"/>
    <w:rsid w:val="00586B2B"/>
    <w:rsid w:val="005907BE"/>
    <w:rsid w:val="00592207"/>
    <w:rsid w:val="00593D89"/>
    <w:rsid w:val="00595409"/>
    <w:rsid w:val="0059556B"/>
    <w:rsid w:val="00597F97"/>
    <w:rsid w:val="005A108A"/>
    <w:rsid w:val="005A3A3A"/>
    <w:rsid w:val="005A7DF3"/>
    <w:rsid w:val="005B2321"/>
    <w:rsid w:val="005B2FEC"/>
    <w:rsid w:val="005B6786"/>
    <w:rsid w:val="005C0188"/>
    <w:rsid w:val="005C610C"/>
    <w:rsid w:val="005C6408"/>
    <w:rsid w:val="005C6BAE"/>
    <w:rsid w:val="005D40C0"/>
    <w:rsid w:val="005D6812"/>
    <w:rsid w:val="005E443B"/>
    <w:rsid w:val="005E5585"/>
    <w:rsid w:val="005F24C1"/>
    <w:rsid w:val="005F5BED"/>
    <w:rsid w:val="006014A9"/>
    <w:rsid w:val="00602463"/>
    <w:rsid w:val="00605BAA"/>
    <w:rsid w:val="00615D0A"/>
    <w:rsid w:val="00617FD2"/>
    <w:rsid w:val="00620A2A"/>
    <w:rsid w:val="00623EBC"/>
    <w:rsid w:val="0062530A"/>
    <w:rsid w:val="006302F7"/>
    <w:rsid w:val="006323DE"/>
    <w:rsid w:val="0064204D"/>
    <w:rsid w:val="00642749"/>
    <w:rsid w:val="00646E95"/>
    <w:rsid w:val="00647188"/>
    <w:rsid w:val="00647E83"/>
    <w:rsid w:val="0065248A"/>
    <w:rsid w:val="00653095"/>
    <w:rsid w:val="00653BDA"/>
    <w:rsid w:val="00655B83"/>
    <w:rsid w:val="00655D8D"/>
    <w:rsid w:val="00665308"/>
    <w:rsid w:val="00665F14"/>
    <w:rsid w:val="00672933"/>
    <w:rsid w:val="006729C7"/>
    <w:rsid w:val="0067305D"/>
    <w:rsid w:val="00675254"/>
    <w:rsid w:val="00685B68"/>
    <w:rsid w:val="0069047E"/>
    <w:rsid w:val="006913A3"/>
    <w:rsid w:val="006934C0"/>
    <w:rsid w:val="00696CD6"/>
    <w:rsid w:val="006A07A0"/>
    <w:rsid w:val="006A5400"/>
    <w:rsid w:val="006B29B9"/>
    <w:rsid w:val="006B3B83"/>
    <w:rsid w:val="006C001E"/>
    <w:rsid w:val="006C02EF"/>
    <w:rsid w:val="006C1ED1"/>
    <w:rsid w:val="006D0F0F"/>
    <w:rsid w:val="006D57AA"/>
    <w:rsid w:val="006E4BB4"/>
    <w:rsid w:val="006E4F94"/>
    <w:rsid w:val="006E7B1E"/>
    <w:rsid w:val="006F3FA9"/>
    <w:rsid w:val="006F410F"/>
    <w:rsid w:val="0070092E"/>
    <w:rsid w:val="00704259"/>
    <w:rsid w:val="00707E3B"/>
    <w:rsid w:val="00710F13"/>
    <w:rsid w:val="00713DD5"/>
    <w:rsid w:val="00720B15"/>
    <w:rsid w:val="007214D9"/>
    <w:rsid w:val="00721BC3"/>
    <w:rsid w:val="00724CA4"/>
    <w:rsid w:val="00727CD0"/>
    <w:rsid w:val="00730097"/>
    <w:rsid w:val="00730E52"/>
    <w:rsid w:val="0073334D"/>
    <w:rsid w:val="0073422A"/>
    <w:rsid w:val="00736B11"/>
    <w:rsid w:val="00740389"/>
    <w:rsid w:val="00740E67"/>
    <w:rsid w:val="00742363"/>
    <w:rsid w:val="00744EE1"/>
    <w:rsid w:val="00745755"/>
    <w:rsid w:val="007459A3"/>
    <w:rsid w:val="0074645D"/>
    <w:rsid w:val="0075647E"/>
    <w:rsid w:val="00760A74"/>
    <w:rsid w:val="00763A03"/>
    <w:rsid w:val="00763A22"/>
    <w:rsid w:val="00763F6B"/>
    <w:rsid w:val="007653A5"/>
    <w:rsid w:val="0076635A"/>
    <w:rsid w:val="00770295"/>
    <w:rsid w:val="007721B8"/>
    <w:rsid w:val="0077260B"/>
    <w:rsid w:val="00772C49"/>
    <w:rsid w:val="00773C19"/>
    <w:rsid w:val="00774084"/>
    <w:rsid w:val="00774F04"/>
    <w:rsid w:val="00776E7E"/>
    <w:rsid w:val="0078004B"/>
    <w:rsid w:val="00781921"/>
    <w:rsid w:val="0078562C"/>
    <w:rsid w:val="00790B1C"/>
    <w:rsid w:val="00791D58"/>
    <w:rsid w:val="0079266B"/>
    <w:rsid w:val="00795922"/>
    <w:rsid w:val="0079634D"/>
    <w:rsid w:val="007A0EEE"/>
    <w:rsid w:val="007A7559"/>
    <w:rsid w:val="007B31AF"/>
    <w:rsid w:val="007B5543"/>
    <w:rsid w:val="007B5686"/>
    <w:rsid w:val="007B5D87"/>
    <w:rsid w:val="007C51A2"/>
    <w:rsid w:val="007C77AE"/>
    <w:rsid w:val="007E1824"/>
    <w:rsid w:val="007E1DEF"/>
    <w:rsid w:val="007E2A67"/>
    <w:rsid w:val="007E7506"/>
    <w:rsid w:val="007F3667"/>
    <w:rsid w:val="007F5A70"/>
    <w:rsid w:val="007F60CE"/>
    <w:rsid w:val="00800D89"/>
    <w:rsid w:val="0080366E"/>
    <w:rsid w:val="00814053"/>
    <w:rsid w:val="0081416B"/>
    <w:rsid w:val="0081460C"/>
    <w:rsid w:val="00815C9D"/>
    <w:rsid w:val="00823976"/>
    <w:rsid w:val="00836BCA"/>
    <w:rsid w:val="00842E4F"/>
    <w:rsid w:val="00847040"/>
    <w:rsid w:val="0085066A"/>
    <w:rsid w:val="00851666"/>
    <w:rsid w:val="0085351D"/>
    <w:rsid w:val="00857FD8"/>
    <w:rsid w:val="00860E80"/>
    <w:rsid w:val="00861073"/>
    <w:rsid w:val="00862259"/>
    <w:rsid w:val="008636B2"/>
    <w:rsid w:val="0086568D"/>
    <w:rsid w:val="008708F7"/>
    <w:rsid w:val="00871126"/>
    <w:rsid w:val="00876EDA"/>
    <w:rsid w:val="00880675"/>
    <w:rsid w:val="0088327A"/>
    <w:rsid w:val="008920C4"/>
    <w:rsid w:val="008A1738"/>
    <w:rsid w:val="008A2FD9"/>
    <w:rsid w:val="008A4046"/>
    <w:rsid w:val="008A7AF1"/>
    <w:rsid w:val="008B4410"/>
    <w:rsid w:val="008B457B"/>
    <w:rsid w:val="008C2A72"/>
    <w:rsid w:val="008C5FD3"/>
    <w:rsid w:val="008C7061"/>
    <w:rsid w:val="008C779C"/>
    <w:rsid w:val="008C7E0E"/>
    <w:rsid w:val="008D0D99"/>
    <w:rsid w:val="008D19F9"/>
    <w:rsid w:val="008D1F84"/>
    <w:rsid w:val="008D613D"/>
    <w:rsid w:val="008E2581"/>
    <w:rsid w:val="008E2FD8"/>
    <w:rsid w:val="008E3D5C"/>
    <w:rsid w:val="008E4B76"/>
    <w:rsid w:val="008E5E6F"/>
    <w:rsid w:val="008F0180"/>
    <w:rsid w:val="008F3D0A"/>
    <w:rsid w:val="009024C2"/>
    <w:rsid w:val="00906FC1"/>
    <w:rsid w:val="00907E2E"/>
    <w:rsid w:val="00910E69"/>
    <w:rsid w:val="009115CF"/>
    <w:rsid w:val="00912997"/>
    <w:rsid w:val="009144F3"/>
    <w:rsid w:val="00915707"/>
    <w:rsid w:val="00916F48"/>
    <w:rsid w:val="00917B2F"/>
    <w:rsid w:val="00920F3B"/>
    <w:rsid w:val="00921F06"/>
    <w:rsid w:val="00925DC1"/>
    <w:rsid w:val="009265FD"/>
    <w:rsid w:val="0092724B"/>
    <w:rsid w:val="009311A1"/>
    <w:rsid w:val="0093477F"/>
    <w:rsid w:val="009347C2"/>
    <w:rsid w:val="00936EBE"/>
    <w:rsid w:val="00937A6E"/>
    <w:rsid w:val="00947A08"/>
    <w:rsid w:val="00950AD7"/>
    <w:rsid w:val="00950DD5"/>
    <w:rsid w:val="009541EC"/>
    <w:rsid w:val="00956055"/>
    <w:rsid w:val="00960E3A"/>
    <w:rsid w:val="00961A73"/>
    <w:rsid w:val="009638E0"/>
    <w:rsid w:val="0096525E"/>
    <w:rsid w:val="009659A7"/>
    <w:rsid w:val="00965D1B"/>
    <w:rsid w:val="00965E1D"/>
    <w:rsid w:val="00966E0A"/>
    <w:rsid w:val="009708CE"/>
    <w:rsid w:val="00971921"/>
    <w:rsid w:val="00974A09"/>
    <w:rsid w:val="00974E0A"/>
    <w:rsid w:val="00975537"/>
    <w:rsid w:val="00975A97"/>
    <w:rsid w:val="00984803"/>
    <w:rsid w:val="00984F83"/>
    <w:rsid w:val="00985EA5"/>
    <w:rsid w:val="00987F44"/>
    <w:rsid w:val="00990C14"/>
    <w:rsid w:val="00992C2A"/>
    <w:rsid w:val="00997993"/>
    <w:rsid w:val="009A019D"/>
    <w:rsid w:val="009A2B71"/>
    <w:rsid w:val="009A3AA1"/>
    <w:rsid w:val="009A44C6"/>
    <w:rsid w:val="009B0B1C"/>
    <w:rsid w:val="009B1BD8"/>
    <w:rsid w:val="009B319C"/>
    <w:rsid w:val="009B4118"/>
    <w:rsid w:val="009B6B9A"/>
    <w:rsid w:val="009B70F4"/>
    <w:rsid w:val="009B7E60"/>
    <w:rsid w:val="009C0D99"/>
    <w:rsid w:val="009C427A"/>
    <w:rsid w:val="009C4973"/>
    <w:rsid w:val="009D0DDA"/>
    <w:rsid w:val="009E0442"/>
    <w:rsid w:val="009E0846"/>
    <w:rsid w:val="009E087D"/>
    <w:rsid w:val="009E4584"/>
    <w:rsid w:val="009E6A7C"/>
    <w:rsid w:val="009F0799"/>
    <w:rsid w:val="009F0C70"/>
    <w:rsid w:val="009F1895"/>
    <w:rsid w:val="009F7FF7"/>
    <w:rsid w:val="00A00D09"/>
    <w:rsid w:val="00A00D2C"/>
    <w:rsid w:val="00A01974"/>
    <w:rsid w:val="00A0623A"/>
    <w:rsid w:val="00A15457"/>
    <w:rsid w:val="00A15D36"/>
    <w:rsid w:val="00A17495"/>
    <w:rsid w:val="00A177EF"/>
    <w:rsid w:val="00A17850"/>
    <w:rsid w:val="00A23D12"/>
    <w:rsid w:val="00A24564"/>
    <w:rsid w:val="00A24571"/>
    <w:rsid w:val="00A25C4E"/>
    <w:rsid w:val="00A27D1B"/>
    <w:rsid w:val="00A34F3B"/>
    <w:rsid w:val="00A363B8"/>
    <w:rsid w:val="00A37780"/>
    <w:rsid w:val="00A41DB1"/>
    <w:rsid w:val="00A43197"/>
    <w:rsid w:val="00A44CF4"/>
    <w:rsid w:val="00A46722"/>
    <w:rsid w:val="00A50660"/>
    <w:rsid w:val="00A52607"/>
    <w:rsid w:val="00A52DBA"/>
    <w:rsid w:val="00A540FB"/>
    <w:rsid w:val="00A54767"/>
    <w:rsid w:val="00A55D18"/>
    <w:rsid w:val="00A6536C"/>
    <w:rsid w:val="00A65379"/>
    <w:rsid w:val="00A658F4"/>
    <w:rsid w:val="00A6687A"/>
    <w:rsid w:val="00A67805"/>
    <w:rsid w:val="00A67AF0"/>
    <w:rsid w:val="00A67EC0"/>
    <w:rsid w:val="00A7122D"/>
    <w:rsid w:val="00A71737"/>
    <w:rsid w:val="00A741B5"/>
    <w:rsid w:val="00A74CB3"/>
    <w:rsid w:val="00A9066F"/>
    <w:rsid w:val="00A9443E"/>
    <w:rsid w:val="00A94670"/>
    <w:rsid w:val="00A9575A"/>
    <w:rsid w:val="00AA1A12"/>
    <w:rsid w:val="00AA2F55"/>
    <w:rsid w:val="00AA3B81"/>
    <w:rsid w:val="00AA4580"/>
    <w:rsid w:val="00AB22E6"/>
    <w:rsid w:val="00AB2AA4"/>
    <w:rsid w:val="00AB2CD4"/>
    <w:rsid w:val="00AB33FF"/>
    <w:rsid w:val="00AB4E74"/>
    <w:rsid w:val="00AC193A"/>
    <w:rsid w:val="00AC4C4D"/>
    <w:rsid w:val="00AC6A83"/>
    <w:rsid w:val="00AD069A"/>
    <w:rsid w:val="00AD17A7"/>
    <w:rsid w:val="00AD40AC"/>
    <w:rsid w:val="00AD50E6"/>
    <w:rsid w:val="00AD5D87"/>
    <w:rsid w:val="00AD749C"/>
    <w:rsid w:val="00AE0317"/>
    <w:rsid w:val="00AE0FE0"/>
    <w:rsid w:val="00AE20C0"/>
    <w:rsid w:val="00AE2675"/>
    <w:rsid w:val="00AE3E27"/>
    <w:rsid w:val="00AE3F5F"/>
    <w:rsid w:val="00AE75FE"/>
    <w:rsid w:val="00AF06BC"/>
    <w:rsid w:val="00AF1A11"/>
    <w:rsid w:val="00AF24DD"/>
    <w:rsid w:val="00B021A4"/>
    <w:rsid w:val="00B02EFD"/>
    <w:rsid w:val="00B0405B"/>
    <w:rsid w:val="00B060CC"/>
    <w:rsid w:val="00B06429"/>
    <w:rsid w:val="00B12A56"/>
    <w:rsid w:val="00B130E4"/>
    <w:rsid w:val="00B17620"/>
    <w:rsid w:val="00B176F7"/>
    <w:rsid w:val="00B21EAA"/>
    <w:rsid w:val="00B22D4D"/>
    <w:rsid w:val="00B3028A"/>
    <w:rsid w:val="00B33A20"/>
    <w:rsid w:val="00B33DE1"/>
    <w:rsid w:val="00B36D9D"/>
    <w:rsid w:val="00B372CF"/>
    <w:rsid w:val="00B42E0F"/>
    <w:rsid w:val="00B4500F"/>
    <w:rsid w:val="00B522C8"/>
    <w:rsid w:val="00B55AB2"/>
    <w:rsid w:val="00B60D20"/>
    <w:rsid w:val="00B6220B"/>
    <w:rsid w:val="00B6466F"/>
    <w:rsid w:val="00B64B89"/>
    <w:rsid w:val="00B65C01"/>
    <w:rsid w:val="00B66D72"/>
    <w:rsid w:val="00B7189B"/>
    <w:rsid w:val="00B731C3"/>
    <w:rsid w:val="00B7349B"/>
    <w:rsid w:val="00B74C99"/>
    <w:rsid w:val="00B75C1D"/>
    <w:rsid w:val="00B77512"/>
    <w:rsid w:val="00B8277F"/>
    <w:rsid w:val="00B8360E"/>
    <w:rsid w:val="00B84C7D"/>
    <w:rsid w:val="00B864CB"/>
    <w:rsid w:val="00B86FB4"/>
    <w:rsid w:val="00B928BC"/>
    <w:rsid w:val="00B95D28"/>
    <w:rsid w:val="00B96CA8"/>
    <w:rsid w:val="00BA5738"/>
    <w:rsid w:val="00BA580C"/>
    <w:rsid w:val="00BB390D"/>
    <w:rsid w:val="00BB5AF7"/>
    <w:rsid w:val="00BB6C0E"/>
    <w:rsid w:val="00BC083A"/>
    <w:rsid w:val="00BC22D4"/>
    <w:rsid w:val="00BC5390"/>
    <w:rsid w:val="00BC5AE6"/>
    <w:rsid w:val="00BC718D"/>
    <w:rsid w:val="00BC79E0"/>
    <w:rsid w:val="00BD01E1"/>
    <w:rsid w:val="00BD33E1"/>
    <w:rsid w:val="00BD3AAF"/>
    <w:rsid w:val="00BD4475"/>
    <w:rsid w:val="00BD5637"/>
    <w:rsid w:val="00BE1BA4"/>
    <w:rsid w:val="00BE6BBB"/>
    <w:rsid w:val="00BE711D"/>
    <w:rsid w:val="00BF1018"/>
    <w:rsid w:val="00BF26F9"/>
    <w:rsid w:val="00C012FB"/>
    <w:rsid w:val="00C023DB"/>
    <w:rsid w:val="00C02917"/>
    <w:rsid w:val="00C056C3"/>
    <w:rsid w:val="00C07C81"/>
    <w:rsid w:val="00C1109B"/>
    <w:rsid w:val="00C127D9"/>
    <w:rsid w:val="00C12E55"/>
    <w:rsid w:val="00C13287"/>
    <w:rsid w:val="00C1393A"/>
    <w:rsid w:val="00C32FCC"/>
    <w:rsid w:val="00C3787E"/>
    <w:rsid w:val="00C400E6"/>
    <w:rsid w:val="00C40955"/>
    <w:rsid w:val="00C436B8"/>
    <w:rsid w:val="00C43C49"/>
    <w:rsid w:val="00C44BFD"/>
    <w:rsid w:val="00C44D45"/>
    <w:rsid w:val="00C51B1B"/>
    <w:rsid w:val="00C51F7D"/>
    <w:rsid w:val="00C613F9"/>
    <w:rsid w:val="00C615D9"/>
    <w:rsid w:val="00C634E2"/>
    <w:rsid w:val="00C6422F"/>
    <w:rsid w:val="00C66246"/>
    <w:rsid w:val="00C665AB"/>
    <w:rsid w:val="00C66D8E"/>
    <w:rsid w:val="00C72B3E"/>
    <w:rsid w:val="00C72E9E"/>
    <w:rsid w:val="00C74FCE"/>
    <w:rsid w:val="00C8114D"/>
    <w:rsid w:val="00C83F71"/>
    <w:rsid w:val="00C85774"/>
    <w:rsid w:val="00C9014C"/>
    <w:rsid w:val="00C90AFD"/>
    <w:rsid w:val="00C91193"/>
    <w:rsid w:val="00C91232"/>
    <w:rsid w:val="00C912D8"/>
    <w:rsid w:val="00C92D95"/>
    <w:rsid w:val="00C938FE"/>
    <w:rsid w:val="00C95E24"/>
    <w:rsid w:val="00CA1EB3"/>
    <w:rsid w:val="00CA59F8"/>
    <w:rsid w:val="00CB0033"/>
    <w:rsid w:val="00CB0521"/>
    <w:rsid w:val="00CC0DD3"/>
    <w:rsid w:val="00CC0E77"/>
    <w:rsid w:val="00CC1ED6"/>
    <w:rsid w:val="00CC66B6"/>
    <w:rsid w:val="00CD398D"/>
    <w:rsid w:val="00CD4EE1"/>
    <w:rsid w:val="00CD77B1"/>
    <w:rsid w:val="00CE0235"/>
    <w:rsid w:val="00CE162C"/>
    <w:rsid w:val="00CE256B"/>
    <w:rsid w:val="00CE3363"/>
    <w:rsid w:val="00CE3777"/>
    <w:rsid w:val="00CE4272"/>
    <w:rsid w:val="00CE5C5E"/>
    <w:rsid w:val="00CF004F"/>
    <w:rsid w:val="00CF1CAA"/>
    <w:rsid w:val="00CF1D59"/>
    <w:rsid w:val="00CF2AEC"/>
    <w:rsid w:val="00CF2C07"/>
    <w:rsid w:val="00CF5714"/>
    <w:rsid w:val="00CF5C7C"/>
    <w:rsid w:val="00CF6287"/>
    <w:rsid w:val="00D0171B"/>
    <w:rsid w:val="00D10C79"/>
    <w:rsid w:val="00D115B3"/>
    <w:rsid w:val="00D13CAC"/>
    <w:rsid w:val="00D167D4"/>
    <w:rsid w:val="00D21773"/>
    <w:rsid w:val="00D22A5F"/>
    <w:rsid w:val="00D23B85"/>
    <w:rsid w:val="00D259DC"/>
    <w:rsid w:val="00D27EBE"/>
    <w:rsid w:val="00D3046C"/>
    <w:rsid w:val="00D30ADB"/>
    <w:rsid w:val="00D3326D"/>
    <w:rsid w:val="00D337E3"/>
    <w:rsid w:val="00D351D2"/>
    <w:rsid w:val="00D44315"/>
    <w:rsid w:val="00D44EA7"/>
    <w:rsid w:val="00D45A81"/>
    <w:rsid w:val="00D559E6"/>
    <w:rsid w:val="00D64933"/>
    <w:rsid w:val="00D722B2"/>
    <w:rsid w:val="00D72B2F"/>
    <w:rsid w:val="00D805C5"/>
    <w:rsid w:val="00D8256A"/>
    <w:rsid w:val="00D909BB"/>
    <w:rsid w:val="00D914A1"/>
    <w:rsid w:val="00D918EB"/>
    <w:rsid w:val="00D932EA"/>
    <w:rsid w:val="00D93598"/>
    <w:rsid w:val="00D96105"/>
    <w:rsid w:val="00D9668A"/>
    <w:rsid w:val="00DA2540"/>
    <w:rsid w:val="00DA32D3"/>
    <w:rsid w:val="00DA3761"/>
    <w:rsid w:val="00DB46B8"/>
    <w:rsid w:val="00DB574F"/>
    <w:rsid w:val="00DC0B24"/>
    <w:rsid w:val="00DC246F"/>
    <w:rsid w:val="00DC33AA"/>
    <w:rsid w:val="00DC4E83"/>
    <w:rsid w:val="00DC6266"/>
    <w:rsid w:val="00DC738F"/>
    <w:rsid w:val="00DD0DCE"/>
    <w:rsid w:val="00DD203D"/>
    <w:rsid w:val="00DD6A5D"/>
    <w:rsid w:val="00DE355C"/>
    <w:rsid w:val="00DE64A3"/>
    <w:rsid w:val="00DF229E"/>
    <w:rsid w:val="00DF2DDC"/>
    <w:rsid w:val="00DF4361"/>
    <w:rsid w:val="00DF6627"/>
    <w:rsid w:val="00E019F2"/>
    <w:rsid w:val="00E01AD5"/>
    <w:rsid w:val="00E07E32"/>
    <w:rsid w:val="00E1158E"/>
    <w:rsid w:val="00E136D4"/>
    <w:rsid w:val="00E146E0"/>
    <w:rsid w:val="00E2289E"/>
    <w:rsid w:val="00E2312C"/>
    <w:rsid w:val="00E25634"/>
    <w:rsid w:val="00E25EAA"/>
    <w:rsid w:val="00E312F6"/>
    <w:rsid w:val="00E31512"/>
    <w:rsid w:val="00E31D95"/>
    <w:rsid w:val="00E325ED"/>
    <w:rsid w:val="00E3396C"/>
    <w:rsid w:val="00E3417B"/>
    <w:rsid w:val="00E34502"/>
    <w:rsid w:val="00E35261"/>
    <w:rsid w:val="00E36CF5"/>
    <w:rsid w:val="00E37870"/>
    <w:rsid w:val="00E40B60"/>
    <w:rsid w:val="00E538CF"/>
    <w:rsid w:val="00E66CE2"/>
    <w:rsid w:val="00E700BD"/>
    <w:rsid w:val="00E7326B"/>
    <w:rsid w:val="00E73EE5"/>
    <w:rsid w:val="00E775D6"/>
    <w:rsid w:val="00E932DB"/>
    <w:rsid w:val="00E9379D"/>
    <w:rsid w:val="00E942D6"/>
    <w:rsid w:val="00E957C7"/>
    <w:rsid w:val="00E95C2D"/>
    <w:rsid w:val="00E96FFB"/>
    <w:rsid w:val="00E97255"/>
    <w:rsid w:val="00EA1C7D"/>
    <w:rsid w:val="00EA225A"/>
    <w:rsid w:val="00EA25F5"/>
    <w:rsid w:val="00EA37D4"/>
    <w:rsid w:val="00EA45A7"/>
    <w:rsid w:val="00EB4388"/>
    <w:rsid w:val="00EB4F0C"/>
    <w:rsid w:val="00EB68AB"/>
    <w:rsid w:val="00EB6C78"/>
    <w:rsid w:val="00EB7480"/>
    <w:rsid w:val="00EC557C"/>
    <w:rsid w:val="00EC60F7"/>
    <w:rsid w:val="00EC6528"/>
    <w:rsid w:val="00EC79B0"/>
    <w:rsid w:val="00ED2D09"/>
    <w:rsid w:val="00ED2EA2"/>
    <w:rsid w:val="00EE2331"/>
    <w:rsid w:val="00EE3489"/>
    <w:rsid w:val="00EE3894"/>
    <w:rsid w:val="00EE50E3"/>
    <w:rsid w:val="00EE5932"/>
    <w:rsid w:val="00EE5DB9"/>
    <w:rsid w:val="00EE765C"/>
    <w:rsid w:val="00EE7EF3"/>
    <w:rsid w:val="00EF0AA3"/>
    <w:rsid w:val="00EF0C67"/>
    <w:rsid w:val="00EF0F54"/>
    <w:rsid w:val="00EF2AF3"/>
    <w:rsid w:val="00EF3F3D"/>
    <w:rsid w:val="00F01130"/>
    <w:rsid w:val="00F039AD"/>
    <w:rsid w:val="00F0476C"/>
    <w:rsid w:val="00F06580"/>
    <w:rsid w:val="00F106B0"/>
    <w:rsid w:val="00F206A7"/>
    <w:rsid w:val="00F22DAF"/>
    <w:rsid w:val="00F22E66"/>
    <w:rsid w:val="00F2753F"/>
    <w:rsid w:val="00F279A9"/>
    <w:rsid w:val="00F316FB"/>
    <w:rsid w:val="00F31B67"/>
    <w:rsid w:val="00F36066"/>
    <w:rsid w:val="00F36691"/>
    <w:rsid w:val="00F36EFA"/>
    <w:rsid w:val="00F4690E"/>
    <w:rsid w:val="00F50933"/>
    <w:rsid w:val="00F52A37"/>
    <w:rsid w:val="00F5568B"/>
    <w:rsid w:val="00F56184"/>
    <w:rsid w:val="00F57901"/>
    <w:rsid w:val="00F64C39"/>
    <w:rsid w:val="00F65518"/>
    <w:rsid w:val="00F65E7C"/>
    <w:rsid w:val="00F67345"/>
    <w:rsid w:val="00F70E9C"/>
    <w:rsid w:val="00F73FEE"/>
    <w:rsid w:val="00F76AE9"/>
    <w:rsid w:val="00F81E06"/>
    <w:rsid w:val="00F82A27"/>
    <w:rsid w:val="00F82EDE"/>
    <w:rsid w:val="00F83064"/>
    <w:rsid w:val="00F8464F"/>
    <w:rsid w:val="00F85002"/>
    <w:rsid w:val="00F85CB0"/>
    <w:rsid w:val="00F86CE9"/>
    <w:rsid w:val="00F87C3C"/>
    <w:rsid w:val="00F91AD4"/>
    <w:rsid w:val="00F94EF3"/>
    <w:rsid w:val="00FA603A"/>
    <w:rsid w:val="00FB1B18"/>
    <w:rsid w:val="00FB211D"/>
    <w:rsid w:val="00FB232D"/>
    <w:rsid w:val="00FB287E"/>
    <w:rsid w:val="00FB666C"/>
    <w:rsid w:val="00FB7AAD"/>
    <w:rsid w:val="00FB7B2F"/>
    <w:rsid w:val="00FC0183"/>
    <w:rsid w:val="00FC1A8B"/>
    <w:rsid w:val="00FC3BF7"/>
    <w:rsid w:val="00FC4983"/>
    <w:rsid w:val="00FC4AE8"/>
    <w:rsid w:val="00FC4BA8"/>
    <w:rsid w:val="00FC577C"/>
    <w:rsid w:val="00FC5FE0"/>
    <w:rsid w:val="00FC713A"/>
    <w:rsid w:val="00FD2D38"/>
    <w:rsid w:val="00FD36C1"/>
    <w:rsid w:val="00FD39C9"/>
    <w:rsid w:val="00FD3CA9"/>
    <w:rsid w:val="00FD3DE4"/>
    <w:rsid w:val="00FD4D76"/>
    <w:rsid w:val="00FD61C2"/>
    <w:rsid w:val="00FD637C"/>
    <w:rsid w:val="00FD67AD"/>
    <w:rsid w:val="00FD7043"/>
    <w:rsid w:val="00FE0925"/>
    <w:rsid w:val="00FE3884"/>
    <w:rsid w:val="00FE4805"/>
    <w:rsid w:val="00FE5041"/>
    <w:rsid w:val="00FE54D3"/>
    <w:rsid w:val="00FE6127"/>
    <w:rsid w:val="00FE678A"/>
    <w:rsid w:val="00FE7F0A"/>
    <w:rsid w:val="00FF1454"/>
    <w:rsid w:val="00FF2377"/>
    <w:rsid w:val="00FF2461"/>
    <w:rsid w:val="00FF2E80"/>
    <w:rsid w:val="00FF4BEC"/>
    <w:rsid w:val="0161359D"/>
    <w:rsid w:val="04ACA941"/>
    <w:rsid w:val="0769B653"/>
    <w:rsid w:val="082FB17B"/>
    <w:rsid w:val="0FDF996C"/>
    <w:rsid w:val="11BCEACD"/>
    <w:rsid w:val="14415E75"/>
    <w:rsid w:val="14D3BCCF"/>
    <w:rsid w:val="16673BFE"/>
    <w:rsid w:val="19908264"/>
    <w:rsid w:val="1B02661B"/>
    <w:rsid w:val="1C150A4E"/>
    <w:rsid w:val="1CA784C8"/>
    <w:rsid w:val="1DE58697"/>
    <w:rsid w:val="1E32E3A0"/>
    <w:rsid w:val="24530848"/>
    <w:rsid w:val="28B6BE5C"/>
    <w:rsid w:val="2ABB5A18"/>
    <w:rsid w:val="2B610FA3"/>
    <w:rsid w:val="2C80543C"/>
    <w:rsid w:val="2CF87F31"/>
    <w:rsid w:val="32D01E46"/>
    <w:rsid w:val="37135A3C"/>
    <w:rsid w:val="371863E9"/>
    <w:rsid w:val="37C87BD4"/>
    <w:rsid w:val="392472AA"/>
    <w:rsid w:val="393D9B07"/>
    <w:rsid w:val="3A63EDBC"/>
    <w:rsid w:val="3A7C4D3D"/>
    <w:rsid w:val="3BCC70B2"/>
    <w:rsid w:val="3C848B02"/>
    <w:rsid w:val="3CB2B973"/>
    <w:rsid w:val="3CB609A4"/>
    <w:rsid w:val="3E51D0D6"/>
    <w:rsid w:val="3EFCE197"/>
    <w:rsid w:val="417DA494"/>
    <w:rsid w:val="44DB8995"/>
    <w:rsid w:val="48928906"/>
    <w:rsid w:val="4ADC3EF3"/>
    <w:rsid w:val="4AFB846C"/>
    <w:rsid w:val="4BCA29C8"/>
    <w:rsid w:val="4D55C811"/>
    <w:rsid w:val="4DBFE25D"/>
    <w:rsid w:val="4E2CB235"/>
    <w:rsid w:val="4E5A2E63"/>
    <w:rsid w:val="4F1248B3"/>
    <w:rsid w:val="4FE30E18"/>
    <w:rsid w:val="50E05511"/>
    <w:rsid w:val="5317D223"/>
    <w:rsid w:val="53D53BAD"/>
    <w:rsid w:val="542069DD"/>
    <w:rsid w:val="54678858"/>
    <w:rsid w:val="54A98156"/>
    <w:rsid w:val="5923000E"/>
    <w:rsid w:val="5BA3D014"/>
    <w:rsid w:val="5EB397BA"/>
    <w:rsid w:val="5FAF6503"/>
    <w:rsid w:val="60B3BEB5"/>
    <w:rsid w:val="612C8F2E"/>
    <w:rsid w:val="61C9A5B4"/>
    <w:rsid w:val="62C81BEC"/>
    <w:rsid w:val="632A29AC"/>
    <w:rsid w:val="633B668E"/>
    <w:rsid w:val="64D51193"/>
    <w:rsid w:val="6679D29A"/>
    <w:rsid w:val="66DAE71E"/>
    <w:rsid w:val="677493DF"/>
    <w:rsid w:val="689806D6"/>
    <w:rsid w:val="69B82820"/>
    <w:rsid w:val="6B4E63EE"/>
    <w:rsid w:val="6CB1F78B"/>
    <w:rsid w:val="6E9BDFAE"/>
    <w:rsid w:val="71F13B59"/>
    <w:rsid w:val="721F0324"/>
    <w:rsid w:val="75C22218"/>
    <w:rsid w:val="76201E4D"/>
    <w:rsid w:val="795AFFC6"/>
    <w:rsid w:val="7B534CE1"/>
    <w:rsid w:val="7EAFDE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B870"/>
  <w15:chartTrackingRefBased/>
  <w15:docId w15:val="{43765ABA-D483-4C1A-89C1-7D30A424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898"/>
    <w:pPr>
      <w:ind w:left="720"/>
      <w:contextualSpacing/>
    </w:pPr>
  </w:style>
  <w:style w:type="character" w:styleId="Hyperlink">
    <w:name w:val="Hyperlink"/>
    <w:basedOn w:val="DefaultParagraphFont"/>
    <w:uiPriority w:val="99"/>
    <w:unhideWhenUsed/>
    <w:rsid w:val="005A3A3A"/>
    <w:rPr>
      <w:color w:val="0563C1" w:themeColor="hyperlink"/>
      <w:u w:val="single"/>
    </w:rPr>
  </w:style>
  <w:style w:type="table" w:styleId="TableGrid">
    <w:name w:val="Table Grid"/>
    <w:basedOn w:val="TableNormal"/>
    <w:uiPriority w:val="39"/>
    <w:rsid w:val="0008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A6D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EF"/>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EF"/>
  </w:style>
  <w:style w:type="paragraph" w:styleId="CommentText">
    <w:name w:val="annotation text"/>
    <w:basedOn w:val="Normal"/>
    <w:link w:val="CommentTextChar"/>
    <w:uiPriority w:val="99"/>
    <w:unhideWhenUsed/>
    <w:rsid w:val="001755A7"/>
    <w:pPr>
      <w:spacing w:line="240" w:lineRule="auto"/>
    </w:pPr>
    <w:rPr>
      <w:sz w:val="20"/>
      <w:szCs w:val="20"/>
    </w:rPr>
  </w:style>
  <w:style w:type="character" w:customStyle="1" w:styleId="CommentTextChar">
    <w:name w:val="Comment Text Char"/>
    <w:basedOn w:val="DefaultParagraphFont"/>
    <w:link w:val="CommentText"/>
    <w:uiPriority w:val="99"/>
    <w:rsid w:val="001755A7"/>
    <w:rPr>
      <w:sz w:val="20"/>
      <w:szCs w:val="20"/>
    </w:rPr>
  </w:style>
  <w:style w:type="character" w:styleId="CommentReference">
    <w:name w:val="annotation reference"/>
    <w:basedOn w:val="DefaultParagraphFont"/>
    <w:uiPriority w:val="99"/>
    <w:semiHidden/>
    <w:unhideWhenUsed/>
    <w:rsid w:val="001755A7"/>
    <w:rPr>
      <w:sz w:val="16"/>
      <w:szCs w:val="16"/>
    </w:rPr>
  </w:style>
  <w:style w:type="paragraph" w:styleId="Revision">
    <w:name w:val="Revision"/>
    <w:hidden/>
    <w:uiPriority w:val="99"/>
    <w:semiHidden/>
    <w:rsid w:val="00F82A27"/>
    <w:pPr>
      <w:spacing w:after="0" w:line="240" w:lineRule="auto"/>
    </w:pPr>
  </w:style>
  <w:style w:type="character" w:styleId="UnresolvedMention">
    <w:name w:val="Unresolved Mention"/>
    <w:basedOn w:val="DefaultParagraphFont"/>
    <w:uiPriority w:val="99"/>
    <w:semiHidden/>
    <w:unhideWhenUsed/>
    <w:rsid w:val="00974E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F4361"/>
    <w:rPr>
      <w:b/>
      <w:bCs/>
    </w:rPr>
  </w:style>
  <w:style w:type="character" w:customStyle="1" w:styleId="CommentSubjectChar">
    <w:name w:val="Comment Subject Char"/>
    <w:basedOn w:val="CommentTextChar"/>
    <w:link w:val="CommentSubject"/>
    <w:uiPriority w:val="99"/>
    <w:semiHidden/>
    <w:rsid w:val="00DF4361"/>
    <w:rPr>
      <w:b/>
      <w:bCs/>
      <w:sz w:val="20"/>
      <w:szCs w:val="20"/>
    </w:rPr>
  </w:style>
  <w:style w:type="character" w:styleId="Mention">
    <w:name w:val="Mention"/>
    <w:basedOn w:val="DefaultParagraphFont"/>
    <w:uiPriority w:val="99"/>
    <w:unhideWhenUsed/>
    <w:rsid w:val="00C634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ns.co.uk/sites/g/files/tkmtob116/files/2023-04/WP17-D12-4%20Community-centric%20design%20guide.pdf"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ts.publishing.service.gov.uk/media/5abccf5f40f0b6026d7ecefb/HNIP_What_is_a_heat_network.pdf" TargetMode="External"/><Relationship Id="rId17" Type="http://schemas.openxmlformats.org/officeDocument/2006/relationships/hyperlink" Target="https://civicsquare.notion.site/Neighbourhood-Doughnut-0114ffb7fd634a248090fdcba914675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ationalgeographic.org/resource/sustainability/"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wmca.org.uk/what-we-do/inclusive-growth/"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6dc74d4-3c86-44af-aba8-ccfa7af9546c">
      <UserInfo>
        <DisplayName>Matthew Griffin (He/Him)</DisplayName>
        <AccountId>303</AccountId>
        <AccountType/>
      </UserInfo>
    </SharedWithUsers>
    <MediaLengthInSeconds xmlns="909e0112-c9d6-4353-ba40-3e48a14acb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10" ma:contentTypeDescription="Create a new document." ma:contentTypeScope="" ma:versionID="3a3c10a85d6abfd923a78d6b355d9398">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b852a320e6eceeed0c0b71d31baae31d"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21BE7-BC2A-49B7-AC20-37C7ABA55C8F}">
  <ds:schemaRefs>
    <ds:schemaRef ds:uri="http://schemas.microsoft.com/sharepoint/v3/contenttype/forms"/>
  </ds:schemaRefs>
</ds:datastoreItem>
</file>

<file path=customXml/itemProps2.xml><?xml version="1.0" encoding="utf-8"?>
<ds:datastoreItem xmlns:ds="http://schemas.openxmlformats.org/officeDocument/2006/customXml" ds:itemID="{E3E2042D-82D0-466F-AD7A-8F96819A7A1E}">
  <ds:schemaRefs>
    <ds:schemaRef ds:uri="http://schemas.microsoft.com/office/2006/metadata/properties"/>
    <ds:schemaRef ds:uri="http://schemas.microsoft.com/office/infopath/2007/PartnerControls"/>
    <ds:schemaRef ds:uri="http://schemas.microsoft.com/sharepoint/v3"/>
    <ds:schemaRef ds:uri="e6fdbf73-b2e7-4d93-a900-29638a8b26d2"/>
    <ds:schemaRef ds:uri="0a428aee-2e88-4f72-95f2-8748fbfa37e5"/>
  </ds:schemaRefs>
</ds:datastoreItem>
</file>

<file path=customXml/itemProps3.xml><?xml version="1.0" encoding="utf-8"?>
<ds:datastoreItem xmlns:ds="http://schemas.openxmlformats.org/officeDocument/2006/customXml" ds:itemID="{F6966793-096F-4FA0-A503-962B81A01DF8}"/>
</file>

<file path=docProps/app.xml><?xml version="1.0" encoding="utf-8"?>
<Properties xmlns="http://schemas.openxmlformats.org/officeDocument/2006/extended-properties" xmlns:vt="http://schemas.openxmlformats.org/officeDocument/2006/docPropsVTypes">
  <Template>Normal</Template>
  <TotalTime>1934</TotalTime>
  <Pages>9</Pages>
  <Words>2945</Words>
  <Characters>16790</Characters>
  <Application>Microsoft Office Word</Application>
  <DocSecurity>0</DocSecurity>
  <Lines>139</Lines>
  <Paragraphs>39</Paragraphs>
  <ScaleCrop>false</ScaleCrop>
  <Company>WMCA</Company>
  <LinksUpToDate>false</LinksUpToDate>
  <CharactersWithSpaces>19696</CharactersWithSpaces>
  <SharedDoc>false</SharedDoc>
  <HLinks>
    <vt:vector size="60" baseType="variant">
      <vt:variant>
        <vt:i4>2228262</vt:i4>
      </vt:variant>
      <vt:variant>
        <vt:i4>18</vt:i4>
      </vt:variant>
      <vt:variant>
        <vt:i4>0</vt:i4>
      </vt:variant>
      <vt:variant>
        <vt:i4>5</vt:i4>
      </vt:variant>
      <vt:variant>
        <vt:lpwstr>https://civicsquare.notion.site/Neighbourhood-Doughnut-0114ffb7fd634a248090fdcba9146750</vt:lpwstr>
      </vt:variant>
      <vt:variant>
        <vt:lpwstr/>
      </vt:variant>
      <vt:variant>
        <vt:i4>5439503</vt:i4>
      </vt:variant>
      <vt:variant>
        <vt:i4>15</vt:i4>
      </vt:variant>
      <vt:variant>
        <vt:i4>0</vt:i4>
      </vt:variant>
      <vt:variant>
        <vt:i4>5</vt:i4>
      </vt:variant>
      <vt:variant>
        <vt:lpwstr>https://www.equans.co.uk/sites/g/files/tkmtob116/files/2023-04/WP17-D12-4 Community-centric design guide.pdf</vt:lpwstr>
      </vt:variant>
      <vt:variant>
        <vt:lpwstr/>
      </vt:variant>
      <vt:variant>
        <vt:i4>131162</vt:i4>
      </vt:variant>
      <vt:variant>
        <vt:i4>12</vt:i4>
      </vt:variant>
      <vt:variant>
        <vt:i4>0</vt:i4>
      </vt:variant>
      <vt:variant>
        <vt:i4>5</vt:i4>
      </vt:variant>
      <vt:variant>
        <vt:lpwstr>https://mycommunity.org.uk/community-assets-and-ownership</vt:lpwstr>
      </vt:variant>
      <vt:variant>
        <vt:lpwstr/>
      </vt:variant>
      <vt:variant>
        <vt:i4>8257563</vt:i4>
      </vt:variant>
      <vt:variant>
        <vt:i4>9</vt:i4>
      </vt:variant>
      <vt:variant>
        <vt:i4>0</vt:i4>
      </vt:variant>
      <vt:variant>
        <vt:i4>5</vt:i4>
      </vt:variant>
      <vt:variant>
        <vt:lpwstr>https://www.thinklocalactpersonal.org.uk/_assets/Resources/Coproduction/LadderOfParticipation.pdf</vt:lpwstr>
      </vt:variant>
      <vt:variant>
        <vt:lpwstr/>
      </vt:variant>
      <vt:variant>
        <vt:i4>2621533</vt:i4>
      </vt:variant>
      <vt:variant>
        <vt:i4>6</vt:i4>
      </vt:variant>
      <vt:variant>
        <vt:i4>0</vt:i4>
      </vt:variant>
      <vt:variant>
        <vt:i4>5</vt:i4>
      </vt:variant>
      <vt:variant>
        <vt:lpwstr>https://assets.publishing.service.gov.uk/media/5abccf5f40f0b6026d7ecefb/HNIP_What_is_a_heat_network.pdf</vt:lpwstr>
      </vt:variant>
      <vt:variant>
        <vt:lpwstr/>
      </vt:variant>
      <vt:variant>
        <vt:i4>65626</vt:i4>
      </vt:variant>
      <vt:variant>
        <vt:i4>3</vt:i4>
      </vt:variant>
      <vt:variant>
        <vt:i4>0</vt:i4>
      </vt:variant>
      <vt:variant>
        <vt:i4>5</vt:i4>
      </vt:variant>
      <vt:variant>
        <vt:lpwstr>https://education.nationalgeographic.org/resource/sustainability/</vt:lpwstr>
      </vt:variant>
      <vt:variant>
        <vt:lpwstr/>
      </vt:variant>
      <vt:variant>
        <vt:i4>2031647</vt:i4>
      </vt:variant>
      <vt:variant>
        <vt:i4>0</vt:i4>
      </vt:variant>
      <vt:variant>
        <vt:i4>0</vt:i4>
      </vt:variant>
      <vt:variant>
        <vt:i4>5</vt:i4>
      </vt:variant>
      <vt:variant>
        <vt:lpwstr>https://www.wmca.org.uk/what-we-do/inclusive-growth/</vt:lpwstr>
      </vt:variant>
      <vt:variant>
        <vt:lpwstr/>
      </vt:variant>
      <vt:variant>
        <vt:i4>2097173</vt:i4>
      </vt:variant>
      <vt:variant>
        <vt:i4>6</vt:i4>
      </vt:variant>
      <vt:variant>
        <vt:i4>0</vt:i4>
      </vt:variant>
      <vt:variant>
        <vt:i4>5</vt:i4>
      </vt:variant>
      <vt:variant>
        <vt:lpwstr>mailto:Alex.Gordon@wmca.org.uk</vt:lpwstr>
      </vt:variant>
      <vt:variant>
        <vt:lpwstr/>
      </vt:variant>
      <vt:variant>
        <vt:i4>3604495</vt:i4>
      </vt:variant>
      <vt:variant>
        <vt:i4>3</vt:i4>
      </vt:variant>
      <vt:variant>
        <vt:i4>0</vt:i4>
      </vt:variant>
      <vt:variant>
        <vt:i4>5</vt:i4>
      </vt:variant>
      <vt:variant>
        <vt:lpwstr>mailto:Ayushi.Vyas@wmca.org.uk</vt:lpwstr>
      </vt:variant>
      <vt:variant>
        <vt:lpwstr/>
      </vt:variant>
      <vt:variant>
        <vt:i4>2097173</vt:i4>
      </vt:variant>
      <vt:variant>
        <vt:i4>0</vt:i4>
      </vt:variant>
      <vt:variant>
        <vt:i4>0</vt:i4>
      </vt:variant>
      <vt:variant>
        <vt:i4>5</vt:i4>
      </vt:variant>
      <vt:variant>
        <vt:lpwstr>mailto:Alex.Gordon@wmca.org.uk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Hoyle (She/Her)</dc:creator>
  <cp:keywords/>
  <dc:description/>
  <cp:lastModifiedBy>Alex Gordon (He/Him)</cp:lastModifiedBy>
  <cp:revision>649</cp:revision>
  <dcterms:created xsi:type="dcterms:W3CDTF">2024-06-03T13:03:00Z</dcterms:created>
  <dcterms:modified xsi:type="dcterms:W3CDTF">2024-07-04T08:23:00Z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0x01010085C058F2EEF31147948823F226C24B62</vt:lpwstr>
  </property>
  <property fmtid="{D5CDD505-2E9C-101B-9397-08002B2CF9AE}" pid="3" name="Order">
    <vt:r8>19600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